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D8A7B">
      <w:pPr>
        <w:spacing w:before="156" w:beforeLines="50" w:after="156" w:afterLines="50"/>
        <w:ind w:firstLine="1044" w:firstLineChars="200"/>
        <w:jc w:val="center"/>
        <w:rPr>
          <w:rFonts w:hint="eastAsia" w:ascii="宋体" w:hAnsi="宋体" w:eastAsia="宋体" w:cs="宋体"/>
          <w:b/>
          <w:sz w:val="52"/>
          <w:szCs w:val="52"/>
        </w:rPr>
      </w:pPr>
      <w:bookmarkStart w:id="0" w:name="_Hlk66459682"/>
      <w:bookmarkEnd w:id="0"/>
      <w:bookmarkStart w:id="9" w:name="_GoBack"/>
      <w:bookmarkEnd w:id="9"/>
    </w:p>
    <w:p w14:paraId="7CC655B0">
      <w:pPr>
        <w:spacing w:before="156" w:beforeLines="50" w:after="156" w:afterLines="50"/>
        <w:ind w:firstLine="1044" w:firstLineChars="20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5FD24C4D">
      <w:pPr>
        <w:spacing w:before="156" w:beforeLines="50" w:after="156" w:afterLines="50"/>
        <w:ind w:firstLine="1044" w:firstLineChars="20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21C6207C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大类分流操作手册</w:t>
      </w:r>
    </w:p>
    <w:p w14:paraId="48D8E7D9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(学生篇)</w:t>
      </w:r>
    </w:p>
    <w:p w14:paraId="44434F84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654E5311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08D5A465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07107BC7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1E6946E7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47D1DBF1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58EF8617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77F7FC84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sdt>
      <w:sdtPr>
        <w:rPr>
          <w:rFonts w:ascii="宋体" w:hAnsi="宋体" w:eastAsia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szCs w:val="52"/>
        </w:rPr>
      </w:sdtEndPr>
      <w:sdtContent>
        <w:p w14:paraId="7F9F3DD3">
          <w:pPr>
            <w:jc w:val="center"/>
            <w:rPr>
              <w:rFonts w:hint="eastAsia"/>
            </w:rPr>
          </w:pPr>
          <w:r>
            <w:rPr>
              <w:rFonts w:ascii="宋体" w:hAnsi="宋体" w:eastAsia="宋体"/>
            </w:rPr>
            <w:t>目录</w:t>
          </w:r>
        </w:p>
        <w:p w14:paraId="08DE06A3">
          <w:pPr>
            <w:pStyle w:val="13"/>
            <w:tabs>
              <w:tab w:val="left" w:pos="420"/>
              <w:tab w:val="right" w:leader="dot" w:pos="8296"/>
            </w:tabs>
            <w:rPr>
              <w:rFonts w:hint="eastAsia"/>
            </w:rPr>
          </w:pPr>
          <w:r>
            <w:rPr>
              <w:rFonts w:hint="eastAsia" w:ascii="宋体" w:hAnsi="宋体" w:eastAsia="宋体" w:cs="宋体"/>
              <w:b/>
              <w:sz w:val="52"/>
              <w:szCs w:val="52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52"/>
              <w:szCs w:val="52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  <w:b/>
              <w:sz w:val="52"/>
              <w:szCs w:val="52"/>
            </w:rPr>
            <w:fldChar w:fldCharType="separate"/>
          </w:r>
          <w:r>
            <w:fldChar w:fldCharType="begin"/>
          </w:r>
          <w:r>
            <w:instrText xml:space="preserve"> HYPERLINK \l "_Toc66460078" </w:instrText>
          </w:r>
          <w:r>
            <w:fldChar w:fldCharType="separate"/>
          </w:r>
          <w:r>
            <w:rPr>
              <w:rStyle w:val="18"/>
            </w:rPr>
            <w:t>1.</w:t>
          </w:r>
          <w:r>
            <w:tab/>
          </w:r>
          <w:r>
            <w:rPr>
              <w:rStyle w:val="18"/>
            </w:rPr>
            <w:t>本文用途</w:t>
          </w:r>
          <w:r>
            <w:tab/>
          </w:r>
          <w:r>
            <w:fldChar w:fldCharType="begin"/>
          </w:r>
          <w:r>
            <w:instrText xml:space="preserve"> PAGEREF _Toc66460078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8B13F1B">
          <w:pPr>
            <w:pStyle w:val="13"/>
            <w:tabs>
              <w:tab w:val="left" w:pos="420"/>
              <w:tab w:val="right" w:leader="dot" w:pos="8296"/>
            </w:tabs>
            <w:rPr>
              <w:rFonts w:hint="eastAsia"/>
            </w:rPr>
          </w:pPr>
          <w:r>
            <w:fldChar w:fldCharType="begin"/>
          </w:r>
          <w:r>
            <w:instrText xml:space="preserve"> HYPERLINK \l "_Toc66460079" </w:instrText>
          </w:r>
          <w:r>
            <w:fldChar w:fldCharType="separate"/>
          </w:r>
          <w:r>
            <w:rPr>
              <w:rStyle w:val="18"/>
            </w:rPr>
            <w:t>2.</w:t>
          </w:r>
          <w:r>
            <w:tab/>
          </w:r>
          <w:r>
            <w:rPr>
              <w:rStyle w:val="18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_Toc66460079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2CEC8DF">
          <w:pPr>
            <w:pStyle w:val="13"/>
            <w:tabs>
              <w:tab w:val="left" w:pos="420"/>
              <w:tab w:val="right" w:leader="dot" w:pos="8296"/>
            </w:tabs>
            <w:rPr>
              <w:rFonts w:hint="eastAsia"/>
            </w:rPr>
          </w:pPr>
          <w:r>
            <w:fldChar w:fldCharType="begin"/>
          </w:r>
          <w:r>
            <w:instrText xml:space="preserve"> HYPERLINK \l "_Toc66460080" </w:instrText>
          </w:r>
          <w:r>
            <w:fldChar w:fldCharType="separate"/>
          </w:r>
          <w:r>
            <w:rPr>
              <w:rStyle w:val="18"/>
            </w:rPr>
            <w:t>3.</w:t>
          </w:r>
          <w:r>
            <w:tab/>
          </w:r>
          <w:r>
            <w:rPr>
              <w:rStyle w:val="18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_Toc66460080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1FCF996">
          <w:pPr>
            <w:pStyle w:val="14"/>
            <w:tabs>
              <w:tab w:val="right" w:leader="dot" w:pos="8296"/>
            </w:tabs>
            <w:rPr>
              <w:rFonts w:hint="eastAsia"/>
            </w:rPr>
          </w:pPr>
          <w:r>
            <w:fldChar w:fldCharType="begin"/>
          </w:r>
          <w:r>
            <w:instrText xml:space="preserve"> HYPERLINK \l "_Toc66460081" </w:instrText>
          </w:r>
          <w:r>
            <w:fldChar w:fldCharType="separate"/>
          </w:r>
          <w:r>
            <w:rPr>
              <w:rStyle w:val="18"/>
            </w:rPr>
            <w:t>&lt;调整志愿&gt;</w:t>
          </w:r>
          <w:r>
            <w:tab/>
          </w:r>
          <w:r>
            <w:fldChar w:fldCharType="begin"/>
          </w:r>
          <w:r>
            <w:instrText xml:space="preserve"> PAGEREF _Toc66460081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0FFE2E2">
          <w:pPr>
            <w:pStyle w:val="14"/>
            <w:tabs>
              <w:tab w:val="right" w:leader="dot" w:pos="8296"/>
            </w:tabs>
            <w:rPr>
              <w:rFonts w:hint="eastAsia"/>
            </w:rPr>
          </w:pPr>
          <w:r>
            <w:fldChar w:fldCharType="begin"/>
          </w:r>
          <w:r>
            <w:instrText xml:space="preserve"> HYPERLINK \l "_Toc66460082" </w:instrText>
          </w:r>
          <w:r>
            <w:fldChar w:fldCharType="separate"/>
          </w:r>
          <w:r>
            <w:rPr>
              <w:rStyle w:val="18"/>
            </w:rPr>
            <w:t>&lt;删除志愿&gt;</w:t>
          </w:r>
          <w:r>
            <w:tab/>
          </w:r>
          <w:r>
            <w:fldChar w:fldCharType="begin"/>
          </w:r>
          <w:r>
            <w:instrText xml:space="preserve"> PAGEREF _Toc66460082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3AFC774">
          <w:pPr>
            <w:pStyle w:val="14"/>
            <w:tabs>
              <w:tab w:val="right" w:leader="dot" w:pos="8296"/>
            </w:tabs>
            <w:rPr>
              <w:rFonts w:hint="eastAsia"/>
            </w:rPr>
          </w:pPr>
          <w:r>
            <w:fldChar w:fldCharType="begin"/>
          </w:r>
          <w:r>
            <w:instrText xml:space="preserve"> HYPERLINK \l "_Toc66460083" </w:instrText>
          </w:r>
          <w:r>
            <w:fldChar w:fldCharType="separate"/>
          </w:r>
          <w:r>
            <w:rPr>
              <w:rStyle w:val="18"/>
            </w:rPr>
            <w:t>&lt;查看专业招收说明&gt;</w:t>
          </w:r>
          <w:r>
            <w:tab/>
          </w:r>
          <w:r>
            <w:fldChar w:fldCharType="begin"/>
          </w:r>
          <w:r>
            <w:instrText xml:space="preserve"> PAGEREF _Toc66460083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9836E53">
          <w:pPr>
            <w:pStyle w:val="14"/>
            <w:tabs>
              <w:tab w:val="right" w:leader="dot" w:pos="8296"/>
            </w:tabs>
            <w:rPr>
              <w:rFonts w:hint="eastAsia"/>
            </w:rPr>
          </w:pPr>
          <w:r>
            <w:fldChar w:fldCharType="begin"/>
          </w:r>
          <w:r>
            <w:instrText xml:space="preserve"> HYPERLINK \l "_Toc66460084" </w:instrText>
          </w:r>
          <w:r>
            <w:fldChar w:fldCharType="separate"/>
          </w:r>
          <w:r>
            <w:rPr>
              <w:rStyle w:val="18"/>
            </w:rPr>
            <w:t>&lt;提交申报志愿&gt;</w:t>
          </w:r>
          <w:r>
            <w:tab/>
          </w:r>
          <w:r>
            <w:fldChar w:fldCharType="begin"/>
          </w:r>
          <w:r>
            <w:instrText xml:space="preserve"> PAGEREF _Toc66460084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90A2AB1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  <w:r>
            <w:rPr>
              <w:rFonts w:hint="eastAsia" w:ascii="宋体" w:hAnsi="宋体" w:eastAsia="宋体" w:cs="宋体"/>
              <w:szCs w:val="52"/>
            </w:rPr>
            <w:fldChar w:fldCharType="end"/>
          </w:r>
        </w:p>
        <w:p w14:paraId="13AAED94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18077D33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2140374B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0F1ED742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5CAB7B69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5686ADCD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634BDF82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1E9E4A78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23328D85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77A998EA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2B669CEC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5BA47A8C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6816250C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4A236CAC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25BD7EB2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5CD808F2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szCs w:val="52"/>
            </w:rPr>
          </w:pPr>
        </w:p>
        <w:p w14:paraId="23BD837E">
          <w:pPr>
            <w:spacing w:before="156" w:beforeLines="50" w:after="156" w:afterLines="50"/>
            <w:jc w:val="center"/>
            <w:rPr>
              <w:rFonts w:hint="eastAsia" w:ascii="宋体" w:hAnsi="宋体" w:eastAsia="宋体" w:cs="宋体"/>
              <w:b/>
              <w:sz w:val="52"/>
              <w:szCs w:val="52"/>
            </w:rPr>
          </w:pPr>
        </w:p>
      </w:sdtContent>
    </w:sdt>
    <w:p w14:paraId="386A2C8D">
      <w:pPr>
        <w:pStyle w:val="2"/>
        <w:rPr>
          <w:rFonts w:hint="eastAsia"/>
        </w:rPr>
      </w:pPr>
      <w:bookmarkStart w:id="1" w:name="_Toc66460078"/>
      <w:r>
        <w:rPr>
          <w:rFonts w:hint="eastAsia"/>
        </w:rPr>
        <w:t>本文用途</w:t>
      </w:r>
      <w:bookmarkEnd w:id="1"/>
    </w:p>
    <w:p w14:paraId="5C3BE467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本文用于指导学生进行大类专业分流申请操作。</w:t>
      </w:r>
    </w:p>
    <w:p w14:paraId="00B632B1">
      <w:pPr>
        <w:pStyle w:val="2"/>
        <w:rPr>
          <w:rFonts w:hint="eastAsia"/>
        </w:rPr>
      </w:pPr>
      <w:bookmarkStart w:id="2" w:name="_Toc66460079"/>
      <w:r>
        <w:rPr>
          <w:rFonts w:hint="eastAsia"/>
        </w:rPr>
        <w:t>访问方式</w:t>
      </w:r>
      <w:bookmarkEnd w:id="2"/>
    </w:p>
    <w:p w14:paraId="68C359A9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r>
        <w:fldChar w:fldCharType="begin"/>
      </w:r>
      <w:r>
        <w:instrText xml:space="preserve"> HYPERLINK "https://newehall.nwafu.edu.cn）" </w:instrText>
      </w:r>
      <w:r>
        <w:fldChar w:fldCharType="separate"/>
      </w:r>
      <w:r>
        <w:rPr>
          <w:rStyle w:val="18"/>
          <w:rFonts w:hint="eastAsia"/>
          <w:sz w:val="28"/>
          <w:szCs w:val="36"/>
        </w:rPr>
        <w:t>https://newehall.nwafu.edu.cn）</w:t>
      </w:r>
      <w:r>
        <w:rPr>
          <w:rStyle w:val="18"/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 xml:space="preserve"> 点击右上角的登录，跳转到认证页面，请使用自己的学校统一认证账号和密码进行验证登录。</w:t>
      </w:r>
    </w:p>
    <w:p w14:paraId="29538C6D">
      <w:pPr>
        <w:rPr>
          <w:rFonts w:hint="eastAsia"/>
        </w:rPr>
      </w:pPr>
      <w:r>
        <w:drawing>
          <wp:inline distT="0" distB="0" distL="114300" distR="114300">
            <wp:extent cx="5268595" cy="2814320"/>
            <wp:effectExtent l="0" t="0" r="8255" b="5080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0359">
      <w:pPr>
        <w:rPr>
          <w:rFonts w:hint="eastAsia"/>
        </w:rPr>
      </w:pPr>
      <w:r>
        <w:drawing>
          <wp:inline distT="0" distB="0" distL="114300" distR="114300">
            <wp:extent cx="5262245" cy="2829560"/>
            <wp:effectExtent l="0" t="0" r="14605" b="8890"/>
            <wp:docPr id="1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02753">
      <w:pPr>
        <w:ind w:firstLine="42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登录成功后，点击顶部导航栏中的‘工作台’，选择并点击‘本科教务’，页面下方展开显示对当前账号开放应用。然后根据实际需要，选择点击应用名称，进入应用中，可进行相关管理操作。</w:t>
      </w:r>
    </w:p>
    <w:p w14:paraId="32A18B9F">
      <w:pPr>
        <w:rPr>
          <w:rFonts w:hint="eastAsia"/>
        </w:rPr>
      </w:pPr>
      <w:r>
        <w:drawing>
          <wp:inline distT="0" distB="0" distL="0" distR="0">
            <wp:extent cx="5274310" cy="28073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CF4A">
      <w:pPr>
        <w:pStyle w:val="2"/>
        <w:rPr>
          <w:rFonts w:hint="eastAsia"/>
        </w:rPr>
      </w:pPr>
      <w:bookmarkStart w:id="3" w:name="_Toc66460080"/>
      <w:r>
        <w:rPr>
          <w:rFonts w:hint="eastAsia"/>
        </w:rPr>
        <w:t>操作指南</w:t>
      </w:r>
      <w:bookmarkEnd w:id="3"/>
      <w:r>
        <w:rPr>
          <w:rFonts w:ascii="黑体" w:hAnsi="黑体" w:eastAsia="黑体" w:cs="黑体"/>
          <w:kern w:val="0"/>
          <w:sz w:val="32"/>
          <w:szCs w:val="32"/>
        </w:rPr>
        <w:t xml:space="preserve"> </w:t>
      </w:r>
    </w:p>
    <w:p w14:paraId="5D9B248B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FF0000"/>
        </w:rPr>
        <w:t>学生</w:t>
      </w:r>
      <w:r>
        <w:rPr>
          <w:rFonts w:hint="eastAsia" w:ascii="黑体" w:hAnsi="黑体" w:eastAsia="黑体" w:cs="黑体"/>
        </w:rPr>
        <w:t>打开大类专业分流APP，首页默认展示专业分流的开放时间信息、大类分流细则，以及在填报录取页面，展示面向自己开放的招收专业信息。</w:t>
      </w:r>
    </w:p>
    <w:p w14:paraId="726E22B6">
      <w:pPr>
        <w:rPr>
          <w:rFonts w:hint="eastAsia" w:ascii="黑体" w:hAnsi="黑体" w:eastAsia="黑体" w:cs="黑体"/>
        </w:rPr>
      </w:pPr>
      <w:r>
        <w:drawing>
          <wp:inline distT="0" distB="0" distL="0" distR="0">
            <wp:extent cx="5274310" cy="1503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A1E4">
      <w:pPr>
        <w:rPr>
          <w:rFonts w:hint="eastAsia" w:ascii="黑体" w:hAnsi="黑体" w:eastAsia="黑体" w:cs="黑体"/>
        </w:rPr>
      </w:pPr>
    </w:p>
    <w:p w14:paraId="23D5E075">
      <w:pPr>
        <w:rPr>
          <w:rFonts w:hint="eastAsia" w:ascii="黑体" w:hAnsi="黑体" w:eastAsia="黑体" w:cs="黑体"/>
          <w:kern w:val="0"/>
          <w:sz w:val="32"/>
          <w:szCs w:val="32"/>
        </w:rPr>
      </w:pPr>
      <w:r>
        <w:rPr>
          <w:rFonts w:hint="eastAsia" w:ascii="黑体" w:hAnsi="黑体" w:eastAsia="黑体" w:cs="黑体"/>
        </w:rPr>
        <w:t>如果进入“大类专业分流”页面，提示当前时间不在开放时间范围内，则填报录入页面显示为空。如下图所示。</w:t>
      </w:r>
    </w:p>
    <w:p w14:paraId="5F10BAEC"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6116955" cy="2698750"/>
            <wp:effectExtent l="0" t="0" r="9525" b="13970"/>
            <wp:docPr id="42" name="图片 42" descr="1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3.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646"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如果进入“大类专业分流”页面，在开放录取的时间范围内，则填报录入页面类表显示对自己开放的可申报专业信息。</w:t>
      </w:r>
    </w:p>
    <w:p w14:paraId="5B70191E">
      <w:pPr>
        <w:rPr>
          <w:rFonts w:hint="eastAsia" w:ascii="黑体" w:hAnsi="黑体" w:eastAsia="黑体" w:cs="黑体"/>
        </w:rPr>
      </w:pPr>
      <w:r>
        <w:rPr>
          <w:rFonts w:hint="eastAsia"/>
        </w:rPr>
        <w:drawing>
          <wp:inline distT="0" distB="0" distL="114300" distR="114300">
            <wp:extent cx="5274310" cy="2482850"/>
            <wp:effectExtent l="0" t="0" r="2540" b="0"/>
            <wp:docPr id="43" name="图片 43" descr="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4.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F5ED3">
      <w:pPr>
        <w:rPr>
          <w:rFonts w:hint="eastAsia" w:ascii="黑体" w:hAnsi="黑体" w:eastAsia="黑体" w:cs="黑体"/>
        </w:rPr>
      </w:pPr>
      <w:bookmarkStart w:id="4" w:name="_Toc66460081"/>
      <w:r>
        <w:rPr>
          <w:rStyle w:val="27"/>
          <w:rFonts w:hint="eastAsia"/>
        </w:rPr>
        <w:t>&lt;</w:t>
      </w:r>
      <w:r>
        <w:rPr>
          <w:rStyle w:val="27"/>
        </w:rPr>
        <w:t>调整</w:t>
      </w:r>
      <w:r>
        <w:rPr>
          <w:rStyle w:val="27"/>
          <w:rFonts w:hint="eastAsia"/>
        </w:rPr>
        <w:t>志愿</w:t>
      </w:r>
      <w:r>
        <w:rPr>
          <w:rStyle w:val="27"/>
        </w:rPr>
        <w:t>&gt;</w:t>
      </w:r>
      <w:bookmarkEnd w:id="4"/>
      <w:r>
        <w:rPr>
          <w:rFonts w:ascii="黑体" w:hAnsi="黑体" w:eastAsia="黑体" w:cs="黑体"/>
        </w:rPr>
        <w:t xml:space="preserve"> </w:t>
      </w:r>
      <w:r>
        <w:rPr>
          <w:rFonts w:hint="eastAsia" w:ascii="黑体" w:hAnsi="黑体" w:eastAsia="黑体" w:cs="黑体"/>
        </w:rPr>
        <w:t>点击招收专业列表右侧的上、下箭头，进行志愿调整，最上面为第一志愿，依次排序。</w:t>
      </w:r>
    </w:p>
    <w:p w14:paraId="1FDFE872">
      <w:pPr>
        <w:rPr>
          <w:rFonts w:hint="eastAsia"/>
        </w:rPr>
      </w:pPr>
      <w:r>
        <w:drawing>
          <wp:inline distT="0" distB="0" distL="0" distR="0">
            <wp:extent cx="5274310" cy="2134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DC8">
      <w:pPr>
        <w:rPr>
          <w:rFonts w:hint="eastAsia" w:ascii="黑体" w:hAnsi="黑体" w:eastAsia="黑体" w:cs="黑体"/>
        </w:rPr>
      </w:pPr>
      <w:bookmarkStart w:id="5" w:name="_Toc66460082"/>
      <w:r>
        <w:rPr>
          <w:rStyle w:val="27"/>
          <w:rFonts w:hint="eastAsia"/>
        </w:rPr>
        <w:t>&lt;</w:t>
      </w:r>
      <w:r>
        <w:rPr>
          <w:rStyle w:val="27"/>
        </w:rPr>
        <w:t>删除志愿&gt;</w:t>
      </w:r>
      <w:bookmarkEnd w:id="5"/>
      <w:r>
        <w:rPr>
          <w:rFonts w:hint="eastAsia" w:ascii="黑体" w:hAnsi="黑体" w:eastAsia="黑体" w:cs="黑体"/>
        </w:rPr>
        <w:t xml:space="preserve">点击招收专业列表右侧的‘X’按钮，进行志愿专业删除。 </w:t>
      </w:r>
      <w:r>
        <w:rPr>
          <w:rFonts w:hint="eastAsia" w:ascii="黑体" w:hAnsi="黑体" w:eastAsia="黑体" w:cs="黑体"/>
          <w:color w:val="FF0000"/>
        </w:rPr>
        <w:t>注：如因误操作删除招收专业，在未提交的情况下，进行页面刷新，即可重新确认操作。</w:t>
      </w:r>
    </w:p>
    <w:p w14:paraId="1F4BFA05">
      <w:pPr>
        <w:rPr>
          <w:rFonts w:hint="eastAsia" w:ascii="黑体" w:hAnsi="黑体" w:eastAsia="黑体" w:cs="黑体"/>
        </w:rPr>
      </w:pPr>
      <w:r>
        <w:drawing>
          <wp:inline distT="0" distB="0" distL="0" distR="0">
            <wp:extent cx="5274310" cy="17862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8618">
      <w:pPr>
        <w:rPr>
          <w:rFonts w:hint="eastAsia" w:ascii="黑体" w:hAnsi="黑体" w:eastAsia="黑体" w:cs="黑体"/>
        </w:rPr>
      </w:pPr>
      <w:bookmarkStart w:id="6" w:name="_Toc66460083"/>
      <w:r>
        <w:rPr>
          <w:rStyle w:val="27"/>
          <w:rFonts w:hint="eastAsia"/>
        </w:rPr>
        <w:t>&lt;</w:t>
      </w:r>
      <w:r>
        <w:rPr>
          <w:rStyle w:val="27"/>
        </w:rPr>
        <w:t>查看</w:t>
      </w:r>
      <w:r>
        <w:rPr>
          <w:rStyle w:val="27"/>
          <w:rFonts w:hint="eastAsia"/>
        </w:rPr>
        <w:t>专业招收说明</w:t>
      </w:r>
      <w:r>
        <w:rPr>
          <w:rStyle w:val="27"/>
        </w:rPr>
        <w:t>&gt;</w:t>
      </w:r>
      <w:bookmarkEnd w:id="6"/>
      <w:r>
        <w:rPr>
          <w:rFonts w:hint="eastAsia" w:ascii="黑体" w:hAnsi="黑体" w:eastAsia="黑体" w:cs="黑体"/>
        </w:rPr>
        <w:t>点击招收专业列表右侧的‘说明’按钮，可查看对应专业的具体招生说明及考试说明。</w:t>
      </w:r>
    </w:p>
    <w:p w14:paraId="6BE528CA">
      <w:pPr>
        <w:rPr>
          <w:rFonts w:hint="eastAsia"/>
        </w:rPr>
      </w:pPr>
      <w:r>
        <w:drawing>
          <wp:inline distT="0" distB="0" distL="0" distR="0">
            <wp:extent cx="5274310" cy="2276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C33F">
      <w:pPr>
        <w:rPr>
          <w:rFonts w:hint="eastAsia" w:ascii="黑体" w:hAnsi="黑体" w:eastAsia="黑体" w:cs="黑体"/>
        </w:rPr>
      </w:pPr>
      <w:bookmarkStart w:id="7" w:name="_Toc66460084"/>
      <w:r>
        <w:rPr>
          <w:rStyle w:val="27"/>
          <w:rFonts w:hint="eastAsia"/>
        </w:rPr>
        <w:t>&lt;</w:t>
      </w:r>
      <w:r>
        <w:rPr>
          <w:rStyle w:val="27"/>
        </w:rPr>
        <w:t>提交</w:t>
      </w:r>
      <w:r>
        <w:rPr>
          <w:rStyle w:val="27"/>
          <w:rFonts w:hint="eastAsia"/>
        </w:rPr>
        <w:t>申报志愿</w:t>
      </w:r>
      <w:r>
        <w:rPr>
          <w:rStyle w:val="27"/>
        </w:rPr>
        <w:t>&gt;</w:t>
      </w:r>
      <w:bookmarkEnd w:id="7"/>
      <w:r>
        <w:rPr>
          <w:rFonts w:hint="eastAsia" w:ascii="黑体" w:hAnsi="黑体" w:eastAsia="黑体" w:cs="黑体"/>
        </w:rPr>
        <w:t>在确认申报专业及志愿顺序无误后，点击专业列表左上交的‘提交’按钮，进行申报提交。</w:t>
      </w:r>
    </w:p>
    <w:p w14:paraId="22011717">
      <w:pPr>
        <w:rPr>
          <w:rFonts w:hint="eastAsia"/>
        </w:rPr>
      </w:pPr>
      <w:r>
        <w:drawing>
          <wp:inline distT="0" distB="0" distL="0" distR="0">
            <wp:extent cx="5274310" cy="2103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3F52">
      <w:pPr>
        <w:pStyle w:val="19"/>
        <w:spacing w:before="156" w:beforeLines="50" w:after="156" w:afterLines="50"/>
        <w:ind w:left="142" w:firstLine="0" w:firstLineChars="0"/>
        <w:jc w:val="righ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=====文档结束=====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PMingLiU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pPr w:leftFromText="180" w:rightFromText="180" w:vertAnchor="page" w:horzAnchor="page" w:tblpX="1892" w:tblpY="15417"/>
      <w:tblOverlap w:val="never"/>
      <w:tblW w:w="8708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5949"/>
      <w:gridCol w:w="2759"/>
    </w:tblGrid>
    <w:sdt>
      <w:sdtPr>
        <w:id w:val="-651450440"/>
      </w:sdtPr>
      <w:sdtContent>
        <w:tr w14:paraId="56D44A13">
          <w:tblPrEx>
            <w:tbl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insideH w:val="single" w:color="000000" w:sz="4" w:space="0"/>
              <w:insideV w:val="single" w:color="000000" w:sz="4" w:space="0"/>
            </w:tblBorders>
            <w:tblCellMar>
              <w:top w:w="0" w:type="dxa"/>
              <w:left w:w="108" w:type="dxa"/>
              <w:bottom w:w="0" w:type="dxa"/>
              <w:right w:w="108" w:type="dxa"/>
            </w:tblCellMar>
          </w:tblPrEx>
          <w:tc>
            <w:tcPr>
              <w:tcW w:w="5949" w:type="dxa"/>
            </w:tcPr>
            <w:p w14:paraId="6FC0B3C5">
              <w:pPr>
                <w:pStyle w:val="11"/>
                <w:rPr>
                  <w:rFonts w:hint="eastAsia" w:ascii="黑体" w:hAnsi="黑体" w:eastAsia="黑体"/>
                  <w:sz w:val="20"/>
                  <w:szCs w:val="20"/>
                </w:rPr>
              </w:pP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版权所有</w:t>
              </w:r>
              <w:r>
                <w:rPr>
                  <w:rFonts w:hint="eastAsia" w:ascii="PMingLiU" w:hAnsi="PMingLiU" w:eastAsia="PMingLiU" w:cs="宋体"/>
                  <w:kern w:val="0"/>
                  <w:sz w:val="21"/>
                  <w:szCs w:val="21"/>
                </w:rPr>
                <w:t>©</w:t>
              </w:r>
              <w:r>
                <w:rPr>
                  <w:rFonts w:hint="eastAsia" w:ascii="宋体" w:hAnsi="宋体" w:cs="Arial"/>
                  <w:kern w:val="0"/>
                  <w:sz w:val="21"/>
                  <w:szCs w:val="21"/>
                </w:rPr>
                <w:t>江苏金智教育信息股份有限公司，保留所有权利。</w:t>
              </w:r>
            </w:p>
          </w:tc>
          <w:tc>
            <w:tcPr>
              <w:tcW w:w="2759" w:type="dxa"/>
            </w:tcPr>
            <w:p w14:paraId="4EBD7F95">
              <w:pPr>
                <w:pStyle w:val="11"/>
                <w:ind w:firstLine="240"/>
                <w:jc w:val="center"/>
                <w:rPr>
                  <w:rFonts w:hint="eastAsia"/>
                </w:rPr>
              </w:pPr>
              <w:sdt>
                <w:sdtPr>
                  <w:id w:val="-1705238520"/>
                </w:sdtPr>
                <w:sdtContent>
                  <w:r>
                    <w:rPr>
                      <w:rFonts w:hint="eastAsia"/>
                      <w:lang w:val="zh-CN"/>
                    </w:rPr>
                    <w:t xml:space="preserve">第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PAGE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页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，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rFonts w:hint="eastAsia"/>
                      <w:lang w:val="zh-CN"/>
                    </w:rPr>
                    <w:t>共</w:t>
                  </w:r>
                  <w:r>
                    <w:rPr>
                      <w:lang w:val="zh-CN"/>
                    </w:rPr>
                    <w:t xml:space="preserve">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begin"/>
                  </w:r>
                  <w:r>
                    <w:rPr>
                      <w:b/>
                      <w:bCs/>
                    </w:rPr>
                    <w:instrText xml:space="preserve">NUMPAGES</w:instrTex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>
                    <w:rPr>
                      <w:b/>
                      <w:bCs/>
                      <w:szCs w:val="24"/>
                    </w:rPr>
                    <w:t>14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sdtContent>
              </w:sdt>
              <w:r>
                <w:t xml:space="preserve"> </w:t>
              </w:r>
              <w:r>
                <w:rPr>
                  <w:rFonts w:hint="eastAsia"/>
                  <w:lang w:val="zh-CN"/>
                </w:rPr>
                <w:t>页</w:t>
              </w:r>
            </w:p>
          </w:tc>
        </w:tr>
      </w:sdtContent>
    </w:sdt>
  </w:tbl>
  <w:p w14:paraId="292A97AA">
    <w:pPr>
      <w:pStyle w:val="11"/>
      <w:rPr>
        <w:rFonts w:hint="eastAsia"/>
        <w:sz w:val="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5"/>
      <w:tblpPr w:leftFromText="180" w:rightFromText="180" w:vertAnchor="page" w:horzAnchor="page" w:tblpX="1892" w:tblpY="535"/>
      <w:tblOverlap w:val="never"/>
      <w:tblW w:w="8587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3093"/>
      <w:gridCol w:w="1076"/>
      <w:gridCol w:w="4418"/>
    </w:tblGrid>
    <w:tr w14:paraId="1D6E75D9">
      <w:tblPrEx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870" w:hRule="atLeast"/>
      </w:trPr>
      <w:tc>
        <w:tcPr>
          <w:tcW w:w="3093" w:type="dxa"/>
          <w:vAlign w:val="center"/>
        </w:tcPr>
        <w:p w14:paraId="194A2DE1">
          <w:pPr>
            <w:pStyle w:val="12"/>
            <w:pBdr>
              <w:bottom w:val="none" w:color="auto" w:sz="0" w:space="0"/>
            </w:pBdr>
            <w:jc w:val="both"/>
            <w:rPr>
              <w:rFonts w:hint="eastAsia" w:ascii="宋体"/>
              <w:sz w:val="21"/>
              <w:szCs w:val="21"/>
            </w:rPr>
          </w:pPr>
          <w:bookmarkStart w:id="8" w:name="_Hlk531790175"/>
          <w:r>
            <w:rPr>
              <w:rFonts w:ascii="宋体"/>
              <w:sz w:val="21"/>
              <w:szCs w:val="21"/>
            </w:rPr>
            <w:drawing>
              <wp:inline distT="0" distB="0" distL="0" distR="0">
                <wp:extent cx="1892300" cy="546100"/>
                <wp:effectExtent l="0" t="0" r="0" b="6350"/>
                <wp:docPr id="1010" name="图片 3" descr="说明: 金智教育-标志与标准字左右组合规范-小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" name="图片 3" descr="说明: 金智教育-标志与标准字左右组合规范-小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76" w:type="dxa"/>
          <w:vAlign w:val="center"/>
        </w:tcPr>
        <w:p w14:paraId="4DCED2C0">
          <w:pPr>
            <w:pStyle w:val="12"/>
            <w:pBdr>
              <w:bottom w:val="none" w:color="auto" w:sz="0" w:space="0"/>
            </w:pBdr>
            <w:rPr>
              <w:rFonts w:hint="eastAsia"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文件类型</w:t>
          </w:r>
        </w:p>
      </w:tc>
      <w:tc>
        <w:tcPr>
          <w:tcW w:w="4418" w:type="dxa"/>
          <w:vAlign w:val="center"/>
        </w:tcPr>
        <w:p w14:paraId="1277EA91">
          <w:pPr>
            <w:pStyle w:val="12"/>
            <w:pBdr>
              <w:bottom w:val="none" w:color="auto" w:sz="0" w:space="0"/>
            </w:pBdr>
            <w:jc w:val="both"/>
            <w:rPr>
              <w:rFonts w:hint="eastAsia" w:ascii="宋体"/>
              <w:sz w:val="21"/>
              <w:szCs w:val="21"/>
            </w:rPr>
          </w:pPr>
          <w:r>
            <w:rPr>
              <w:rFonts w:hint="eastAsia" w:ascii="宋体" w:hAnsi="宋体"/>
              <w:sz w:val="21"/>
              <w:szCs w:val="21"/>
            </w:rPr>
            <w:t>用户操作手册</w:t>
          </w:r>
        </w:p>
      </w:tc>
    </w:tr>
    <w:bookmarkEnd w:id="8"/>
  </w:tbl>
  <w:p w14:paraId="31ABD003">
    <w:pPr>
      <w:pStyle w:val="12"/>
      <w:pBdr>
        <w:bottom w:val="none" w:color="auto" w:sz="0" w:space="0"/>
      </w:pBdr>
      <w:jc w:val="both"/>
      <w:rPr>
        <w:rFonts w:hint="eastAsia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EEFEC"/>
    <w:multiLevelType w:val="multilevel"/>
    <w:tmpl w:val="E01EEFE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22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5F90"/>
    <w:rsid w:val="00012597"/>
    <w:rsid w:val="000127FC"/>
    <w:rsid w:val="00014FFA"/>
    <w:rsid w:val="0001745A"/>
    <w:rsid w:val="00025134"/>
    <w:rsid w:val="0003049C"/>
    <w:rsid w:val="000370D0"/>
    <w:rsid w:val="0003755D"/>
    <w:rsid w:val="00040AB8"/>
    <w:rsid w:val="00081729"/>
    <w:rsid w:val="00081B2A"/>
    <w:rsid w:val="0009082C"/>
    <w:rsid w:val="00093404"/>
    <w:rsid w:val="00093E46"/>
    <w:rsid w:val="00094410"/>
    <w:rsid w:val="000A1934"/>
    <w:rsid w:val="000B0E3C"/>
    <w:rsid w:val="000B3608"/>
    <w:rsid w:val="000B413B"/>
    <w:rsid w:val="000B5ED4"/>
    <w:rsid w:val="000C5E08"/>
    <w:rsid w:val="000D61EB"/>
    <w:rsid w:val="000D7A9E"/>
    <w:rsid w:val="000F3059"/>
    <w:rsid w:val="000F4797"/>
    <w:rsid w:val="000F75B6"/>
    <w:rsid w:val="00103951"/>
    <w:rsid w:val="00130B98"/>
    <w:rsid w:val="00137927"/>
    <w:rsid w:val="0015133B"/>
    <w:rsid w:val="00157E8A"/>
    <w:rsid w:val="00157EC2"/>
    <w:rsid w:val="001715F9"/>
    <w:rsid w:val="0018101F"/>
    <w:rsid w:val="001A4D1F"/>
    <w:rsid w:val="001A6647"/>
    <w:rsid w:val="001B4BA7"/>
    <w:rsid w:val="001B7FE0"/>
    <w:rsid w:val="001E2C09"/>
    <w:rsid w:val="001E59D9"/>
    <w:rsid w:val="001F3F1D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783"/>
    <w:rsid w:val="002A6E54"/>
    <w:rsid w:val="002C649B"/>
    <w:rsid w:val="002D1D0D"/>
    <w:rsid w:val="0030524D"/>
    <w:rsid w:val="00311CFF"/>
    <w:rsid w:val="00312762"/>
    <w:rsid w:val="00331A6D"/>
    <w:rsid w:val="003419B3"/>
    <w:rsid w:val="003436EB"/>
    <w:rsid w:val="00346126"/>
    <w:rsid w:val="00346B62"/>
    <w:rsid w:val="00357C77"/>
    <w:rsid w:val="00375CB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D4185"/>
    <w:rsid w:val="003D72BE"/>
    <w:rsid w:val="003E63E5"/>
    <w:rsid w:val="003F15CB"/>
    <w:rsid w:val="003F71C2"/>
    <w:rsid w:val="0040560A"/>
    <w:rsid w:val="00417468"/>
    <w:rsid w:val="0042630F"/>
    <w:rsid w:val="00430D57"/>
    <w:rsid w:val="00442E95"/>
    <w:rsid w:val="00446882"/>
    <w:rsid w:val="00451135"/>
    <w:rsid w:val="004559C3"/>
    <w:rsid w:val="00467312"/>
    <w:rsid w:val="00472863"/>
    <w:rsid w:val="004819F2"/>
    <w:rsid w:val="0048737B"/>
    <w:rsid w:val="004A4102"/>
    <w:rsid w:val="004B0D7D"/>
    <w:rsid w:val="004B2E8B"/>
    <w:rsid w:val="004B4640"/>
    <w:rsid w:val="004C0E18"/>
    <w:rsid w:val="004C13F7"/>
    <w:rsid w:val="004C24BC"/>
    <w:rsid w:val="004D32F1"/>
    <w:rsid w:val="004D35A4"/>
    <w:rsid w:val="004E2F20"/>
    <w:rsid w:val="004E463B"/>
    <w:rsid w:val="004E6E6B"/>
    <w:rsid w:val="004F6568"/>
    <w:rsid w:val="004F65A0"/>
    <w:rsid w:val="005115B8"/>
    <w:rsid w:val="005317BA"/>
    <w:rsid w:val="00533864"/>
    <w:rsid w:val="00552A1F"/>
    <w:rsid w:val="00552A34"/>
    <w:rsid w:val="00562EB2"/>
    <w:rsid w:val="00565444"/>
    <w:rsid w:val="00566951"/>
    <w:rsid w:val="00585D90"/>
    <w:rsid w:val="00595709"/>
    <w:rsid w:val="00596456"/>
    <w:rsid w:val="005D7EDC"/>
    <w:rsid w:val="005E4DB0"/>
    <w:rsid w:val="005F0569"/>
    <w:rsid w:val="005F6B35"/>
    <w:rsid w:val="0060340B"/>
    <w:rsid w:val="00605747"/>
    <w:rsid w:val="00612FF6"/>
    <w:rsid w:val="00626193"/>
    <w:rsid w:val="006332F5"/>
    <w:rsid w:val="00637552"/>
    <w:rsid w:val="00640870"/>
    <w:rsid w:val="00653EAA"/>
    <w:rsid w:val="0066703D"/>
    <w:rsid w:val="00670279"/>
    <w:rsid w:val="00682178"/>
    <w:rsid w:val="006837EB"/>
    <w:rsid w:val="00685595"/>
    <w:rsid w:val="006858CA"/>
    <w:rsid w:val="006859EF"/>
    <w:rsid w:val="006A74A7"/>
    <w:rsid w:val="006B59E6"/>
    <w:rsid w:val="006E34DE"/>
    <w:rsid w:val="006E5B89"/>
    <w:rsid w:val="0071454E"/>
    <w:rsid w:val="007160FA"/>
    <w:rsid w:val="0071758D"/>
    <w:rsid w:val="00731A36"/>
    <w:rsid w:val="007328F2"/>
    <w:rsid w:val="00735581"/>
    <w:rsid w:val="00737715"/>
    <w:rsid w:val="00771962"/>
    <w:rsid w:val="007763CD"/>
    <w:rsid w:val="00777F8E"/>
    <w:rsid w:val="007819C2"/>
    <w:rsid w:val="00792C1A"/>
    <w:rsid w:val="007A3280"/>
    <w:rsid w:val="007D0999"/>
    <w:rsid w:val="007D7A9C"/>
    <w:rsid w:val="007F25C7"/>
    <w:rsid w:val="00805599"/>
    <w:rsid w:val="00807338"/>
    <w:rsid w:val="00814D7C"/>
    <w:rsid w:val="0081674C"/>
    <w:rsid w:val="0082124C"/>
    <w:rsid w:val="00830FDC"/>
    <w:rsid w:val="00832FC2"/>
    <w:rsid w:val="00834744"/>
    <w:rsid w:val="00845371"/>
    <w:rsid w:val="008457F9"/>
    <w:rsid w:val="00863CB2"/>
    <w:rsid w:val="00863FD2"/>
    <w:rsid w:val="008663A1"/>
    <w:rsid w:val="008948B4"/>
    <w:rsid w:val="008A2CB8"/>
    <w:rsid w:val="008B216C"/>
    <w:rsid w:val="008B2D80"/>
    <w:rsid w:val="008B3D38"/>
    <w:rsid w:val="008E3A7E"/>
    <w:rsid w:val="008E6660"/>
    <w:rsid w:val="008E7517"/>
    <w:rsid w:val="00902BEF"/>
    <w:rsid w:val="00907902"/>
    <w:rsid w:val="009138B2"/>
    <w:rsid w:val="00914B7C"/>
    <w:rsid w:val="009278A5"/>
    <w:rsid w:val="009279C2"/>
    <w:rsid w:val="00940A75"/>
    <w:rsid w:val="00942206"/>
    <w:rsid w:val="00947A23"/>
    <w:rsid w:val="00967945"/>
    <w:rsid w:val="00974672"/>
    <w:rsid w:val="00984DC8"/>
    <w:rsid w:val="00994844"/>
    <w:rsid w:val="009A0193"/>
    <w:rsid w:val="009A22B2"/>
    <w:rsid w:val="009A326F"/>
    <w:rsid w:val="009C18DD"/>
    <w:rsid w:val="009D1A5B"/>
    <w:rsid w:val="009D262C"/>
    <w:rsid w:val="009E0037"/>
    <w:rsid w:val="009F471C"/>
    <w:rsid w:val="00A04038"/>
    <w:rsid w:val="00A34E0B"/>
    <w:rsid w:val="00A35C19"/>
    <w:rsid w:val="00A42CF0"/>
    <w:rsid w:val="00A553B9"/>
    <w:rsid w:val="00A674B1"/>
    <w:rsid w:val="00A67E21"/>
    <w:rsid w:val="00A70B9A"/>
    <w:rsid w:val="00A73AB2"/>
    <w:rsid w:val="00A76436"/>
    <w:rsid w:val="00A84515"/>
    <w:rsid w:val="00A948ED"/>
    <w:rsid w:val="00AA5242"/>
    <w:rsid w:val="00AA6ED1"/>
    <w:rsid w:val="00AB016A"/>
    <w:rsid w:val="00AE24DF"/>
    <w:rsid w:val="00AE78E4"/>
    <w:rsid w:val="00B14EBA"/>
    <w:rsid w:val="00B15DA8"/>
    <w:rsid w:val="00B16180"/>
    <w:rsid w:val="00B25FD4"/>
    <w:rsid w:val="00B32367"/>
    <w:rsid w:val="00B40B8A"/>
    <w:rsid w:val="00B514CC"/>
    <w:rsid w:val="00B53E3F"/>
    <w:rsid w:val="00B566CB"/>
    <w:rsid w:val="00B601C4"/>
    <w:rsid w:val="00B63262"/>
    <w:rsid w:val="00B6352A"/>
    <w:rsid w:val="00B75F05"/>
    <w:rsid w:val="00B77D73"/>
    <w:rsid w:val="00B82B34"/>
    <w:rsid w:val="00B95D5B"/>
    <w:rsid w:val="00BA3A92"/>
    <w:rsid w:val="00BC28BC"/>
    <w:rsid w:val="00BC2C94"/>
    <w:rsid w:val="00BE6FA9"/>
    <w:rsid w:val="00BF43CC"/>
    <w:rsid w:val="00C0334B"/>
    <w:rsid w:val="00C10F07"/>
    <w:rsid w:val="00C13491"/>
    <w:rsid w:val="00C3087A"/>
    <w:rsid w:val="00C32F98"/>
    <w:rsid w:val="00C355BB"/>
    <w:rsid w:val="00C51A07"/>
    <w:rsid w:val="00C53769"/>
    <w:rsid w:val="00C7257D"/>
    <w:rsid w:val="00C7315E"/>
    <w:rsid w:val="00C74CE9"/>
    <w:rsid w:val="00C807F2"/>
    <w:rsid w:val="00C81A4E"/>
    <w:rsid w:val="00C82660"/>
    <w:rsid w:val="00C832ED"/>
    <w:rsid w:val="00C87FBF"/>
    <w:rsid w:val="00C9139E"/>
    <w:rsid w:val="00C91C94"/>
    <w:rsid w:val="00C96117"/>
    <w:rsid w:val="00CA103A"/>
    <w:rsid w:val="00CA50A4"/>
    <w:rsid w:val="00CB4F61"/>
    <w:rsid w:val="00CB73A2"/>
    <w:rsid w:val="00CC0CA3"/>
    <w:rsid w:val="00CC75EF"/>
    <w:rsid w:val="00CD64F6"/>
    <w:rsid w:val="00CE14D6"/>
    <w:rsid w:val="00CE4635"/>
    <w:rsid w:val="00D01199"/>
    <w:rsid w:val="00D035DF"/>
    <w:rsid w:val="00D16640"/>
    <w:rsid w:val="00D24760"/>
    <w:rsid w:val="00D25D11"/>
    <w:rsid w:val="00D30032"/>
    <w:rsid w:val="00D4642E"/>
    <w:rsid w:val="00D51537"/>
    <w:rsid w:val="00D55F6C"/>
    <w:rsid w:val="00D571B3"/>
    <w:rsid w:val="00D62273"/>
    <w:rsid w:val="00D62852"/>
    <w:rsid w:val="00D634D8"/>
    <w:rsid w:val="00D656F9"/>
    <w:rsid w:val="00D65B5B"/>
    <w:rsid w:val="00D71E8D"/>
    <w:rsid w:val="00D72760"/>
    <w:rsid w:val="00D775FF"/>
    <w:rsid w:val="00D87DF3"/>
    <w:rsid w:val="00D94115"/>
    <w:rsid w:val="00D95039"/>
    <w:rsid w:val="00D95ED9"/>
    <w:rsid w:val="00DC60BD"/>
    <w:rsid w:val="00DE4858"/>
    <w:rsid w:val="00DF604F"/>
    <w:rsid w:val="00E02886"/>
    <w:rsid w:val="00E04F8B"/>
    <w:rsid w:val="00E15069"/>
    <w:rsid w:val="00E3194D"/>
    <w:rsid w:val="00E31FD3"/>
    <w:rsid w:val="00E336B1"/>
    <w:rsid w:val="00E36AB4"/>
    <w:rsid w:val="00E542F2"/>
    <w:rsid w:val="00E57613"/>
    <w:rsid w:val="00E95C02"/>
    <w:rsid w:val="00E97FFD"/>
    <w:rsid w:val="00EA7D79"/>
    <w:rsid w:val="00EB27DF"/>
    <w:rsid w:val="00EB4A5E"/>
    <w:rsid w:val="00EC2328"/>
    <w:rsid w:val="00EC2C2E"/>
    <w:rsid w:val="00EC78B1"/>
    <w:rsid w:val="00ED1DB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4FE2"/>
    <w:rsid w:val="00F76E1F"/>
    <w:rsid w:val="00F82A6D"/>
    <w:rsid w:val="00F85B81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24758DE"/>
    <w:rsid w:val="24DD51B8"/>
    <w:rsid w:val="2693669B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76276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422631D"/>
    <w:rsid w:val="77C61837"/>
    <w:rsid w:val="782B43F7"/>
    <w:rsid w:val="7FFB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8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2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3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4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 w:cs="Times New Roman"/>
      <w:szCs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Hyperlink"/>
    <w:basedOn w:val="17"/>
    <w:qFormat/>
    <w:uiPriority w:val="99"/>
    <w:rPr>
      <w:color w:val="0000FF"/>
      <w:u w:val="single"/>
    </w:rPr>
  </w:style>
  <w:style w:type="paragraph" w:styleId="19">
    <w:name w:val="List Paragraph"/>
    <w:basedOn w:val="1"/>
    <w:link w:val="24"/>
    <w:qFormat/>
    <w:uiPriority w:val="34"/>
    <w:pPr>
      <w:ind w:firstLine="420" w:firstLineChars="200"/>
    </w:pPr>
  </w:style>
  <w:style w:type="character" w:customStyle="1" w:styleId="20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21">
    <w:name w:val="页脚 字符"/>
    <w:basedOn w:val="17"/>
    <w:link w:val="11"/>
    <w:qFormat/>
    <w:uiPriority w:val="99"/>
    <w:rPr>
      <w:sz w:val="18"/>
      <w:szCs w:val="18"/>
    </w:rPr>
  </w:style>
  <w:style w:type="paragraph" w:customStyle="1" w:styleId="22">
    <w:name w:val="样式1"/>
    <w:basedOn w:val="19"/>
    <w:link w:val="25"/>
    <w:qFormat/>
    <w:uiPriority w:val="0"/>
    <w:pPr>
      <w:numPr>
        <w:ilvl w:val="0"/>
        <w:numId w:val="2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23">
    <w:name w:val="标题 1 字符"/>
    <w:basedOn w:val="1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列表段落 字符"/>
    <w:basedOn w:val="17"/>
    <w:link w:val="19"/>
    <w:qFormat/>
    <w:uiPriority w:val="34"/>
  </w:style>
  <w:style w:type="character" w:customStyle="1" w:styleId="25">
    <w:name w:val="样式1 字符"/>
    <w:basedOn w:val="24"/>
    <w:link w:val="22"/>
    <w:qFormat/>
    <w:uiPriority w:val="0"/>
    <w:rPr>
      <w:sz w:val="22"/>
    </w:rPr>
  </w:style>
  <w:style w:type="paragraph" w:styleId="2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7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字符"/>
    <w:basedOn w:val="17"/>
    <w:link w:val="4"/>
    <w:qFormat/>
    <w:uiPriority w:val="0"/>
    <w:rPr>
      <w:b/>
      <w:bCs/>
      <w:sz w:val="32"/>
      <w:szCs w:val="32"/>
    </w:rPr>
  </w:style>
  <w:style w:type="character" w:customStyle="1" w:styleId="29">
    <w:name w:val="标题 4 字符"/>
    <w:basedOn w:val="17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标题 5 字符"/>
    <w:basedOn w:val="17"/>
    <w:link w:val="6"/>
    <w:qFormat/>
    <w:uiPriority w:val="9"/>
    <w:rPr>
      <w:b/>
      <w:bCs/>
      <w:sz w:val="28"/>
      <w:szCs w:val="28"/>
    </w:rPr>
  </w:style>
  <w:style w:type="character" w:customStyle="1" w:styleId="31">
    <w:name w:val="标题 6 字符"/>
    <w:basedOn w:val="17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2">
    <w:name w:val="标题 7 字符"/>
    <w:basedOn w:val="17"/>
    <w:link w:val="8"/>
    <w:qFormat/>
    <w:uiPriority w:val="9"/>
    <w:rPr>
      <w:b/>
      <w:bCs/>
      <w:sz w:val="24"/>
      <w:szCs w:val="24"/>
    </w:rPr>
  </w:style>
  <w:style w:type="character" w:customStyle="1" w:styleId="33">
    <w:name w:val="标题 8 字符"/>
    <w:basedOn w:val="17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4">
    <w:name w:val="标题 9 字符"/>
    <w:basedOn w:val="17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6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CAUTION Heading"/>
    <w:basedOn w:val="1"/>
    <w:qFormat/>
    <w:uiPriority w:val="0"/>
    <w:pPr>
      <w:keepNext/>
      <w:widowControl/>
      <w:pBdr>
        <w:top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Book Antiqua" w:hAnsi="Book Antiqua" w:eastAsia="黑体" w:cs="Arial"/>
      <w:bCs/>
      <w:szCs w:val="21"/>
    </w:rPr>
  </w:style>
  <w:style w:type="paragraph" w:customStyle="1" w:styleId="39">
    <w:name w:val="CAUTION Text"/>
    <w:basedOn w:val="1"/>
    <w:qFormat/>
    <w:uiPriority w:val="0"/>
    <w:pPr>
      <w:keepLines/>
      <w:widowControl/>
      <w:pBdr>
        <w:bottom w:val="single" w:color="auto" w:sz="12" w:space="4"/>
      </w:pBdr>
      <w:topLinePunct/>
      <w:adjustRightInd w:val="0"/>
      <w:snapToGrid w:val="0"/>
      <w:spacing w:before="80" w:after="80" w:line="240" w:lineRule="atLeast"/>
      <w:ind w:left="1701"/>
      <w:jc w:val="left"/>
    </w:pPr>
    <w:rPr>
      <w:rFonts w:ascii="Times New Roman" w:hAnsi="Times New Roman" w:eastAsia="楷体_GB2312" w:cs="Arial"/>
      <w:iCs/>
      <w:szCs w:val="21"/>
    </w:rPr>
  </w:style>
  <w:style w:type="character" w:customStyle="1" w:styleId="40">
    <w:name w:val="Unresolved Mention"/>
    <w:basedOn w:val="1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33C4C-7CB3-4F26-BAE8-8D53189ED7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625</Words>
  <Characters>666</Characters>
  <Lines>8</Lines>
  <Paragraphs>2</Paragraphs>
  <TotalTime>202</TotalTime>
  <ScaleCrop>false</ScaleCrop>
  <LinksUpToDate>false</LinksUpToDate>
  <CharactersWithSpaces>680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ミ寶 児ミ</cp:lastModifiedBy>
  <cp:lastPrinted>2018-12-10T02:26:00Z</cp:lastPrinted>
  <dcterms:modified xsi:type="dcterms:W3CDTF">2026-01-20T00:51:24Z</dcterms:modified>
  <cp:revision>158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2025-12-17T09:47:11Z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9715102f-b636-45d6-a84a-8049b616a2ff</vt:lpwstr>
  </property>
  <property fmtid="{D5CDD505-2E9C-101B-9397-08002B2CF9AE}" pid="8" name="MSIP_Label_defa4170-0d19-0005-0004-bc88714345d2_ActionId">
    <vt:lpwstr>c8af1da7-3ee2-4cc5-a1aa-4c5b28a06d84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  <property fmtid="{D5CDD505-2E9C-101B-9397-08002B2CF9AE}" pid="11" name="ICV">
    <vt:lpwstr>9EF8B86066ED4436B1433510A0D6B4B2_13</vt:lpwstr>
  </property>
</Properties>
</file>