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C630F">
      <w:pPr>
        <w:widowControl/>
        <w:wordWrap/>
        <w:spacing w:line="360" w:lineRule="auto"/>
        <w:ind w:left="0" w:leftChars="0" w:right="0" w:rightChars="0"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第一章 </w:t>
      </w:r>
      <w:r>
        <w:rPr>
          <w:rFonts w:hint="eastAsia" w:asciiTheme="minorEastAsia" w:hAnsiTheme="minorEastAsia" w:eastAsiaTheme="minorEastAsia" w:cstheme="minorEastAsia"/>
          <w:b/>
          <w:bCs/>
          <w:sz w:val="28"/>
          <w:szCs w:val="28"/>
        </w:rPr>
        <w:t>磋商须知</w:t>
      </w:r>
    </w:p>
    <w:p w14:paraId="5A3DB92B">
      <w:pPr>
        <w:widowControl/>
        <w:wordWrap/>
        <w:spacing w:line="360" w:lineRule="auto"/>
        <w:ind w:left="0" w:leftChars="0" w:right="0" w:rightChars="0" w:firstLine="0" w:firstLineChars="0"/>
        <w:jc w:val="left"/>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一、</w:t>
      </w:r>
      <w:r>
        <w:rPr>
          <w:rFonts w:asciiTheme="minorEastAsia" w:hAnsiTheme="minorEastAsia" w:eastAsiaTheme="minorEastAsia"/>
          <w:b/>
          <w:sz w:val="24"/>
          <w:szCs w:val="24"/>
        </w:rPr>
        <w:t>磋商须知</w:t>
      </w:r>
      <w:r>
        <w:rPr>
          <w:rFonts w:hint="eastAsia" w:asciiTheme="minorEastAsia" w:hAnsiTheme="minorEastAsia" w:eastAsiaTheme="minorEastAsia"/>
          <w:b/>
          <w:sz w:val="24"/>
          <w:szCs w:val="24"/>
          <w:lang w:val="en-US" w:eastAsia="zh-CN"/>
        </w:rPr>
        <w:t>前</w:t>
      </w:r>
      <w:r>
        <w:rPr>
          <w:rFonts w:asciiTheme="minorEastAsia" w:hAnsiTheme="minorEastAsia" w:eastAsiaTheme="minorEastAsia"/>
          <w:b/>
          <w:sz w:val="24"/>
          <w:szCs w:val="24"/>
        </w:rPr>
        <w:t>附表</w:t>
      </w:r>
    </w:p>
    <w:tbl>
      <w:tblPr>
        <w:tblStyle w:val="5"/>
        <w:tblW w:w="8378" w:type="dxa"/>
        <w:tblInd w:w="-27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73"/>
        <w:gridCol w:w="2198"/>
        <w:gridCol w:w="5607"/>
      </w:tblGrid>
      <w:tr w14:paraId="094780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43" w:hRule="atLeast"/>
        </w:trPr>
        <w:tc>
          <w:tcPr>
            <w:tcW w:w="573" w:type="dxa"/>
            <w:tcMar>
              <w:left w:w="0" w:type="dxa"/>
              <w:right w:w="0" w:type="dxa"/>
            </w:tcMar>
            <w:vAlign w:val="center"/>
          </w:tcPr>
          <w:p w14:paraId="20A30D7E">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序号</w:t>
            </w:r>
          </w:p>
        </w:tc>
        <w:tc>
          <w:tcPr>
            <w:tcW w:w="2198" w:type="dxa"/>
            <w:tcMar>
              <w:left w:w="0" w:type="dxa"/>
              <w:right w:w="0" w:type="dxa"/>
            </w:tcMar>
            <w:vAlign w:val="center"/>
          </w:tcPr>
          <w:p w14:paraId="26B60F44">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条款名称</w:t>
            </w:r>
          </w:p>
        </w:tc>
        <w:tc>
          <w:tcPr>
            <w:tcW w:w="5607" w:type="dxa"/>
            <w:tcMar>
              <w:left w:w="0" w:type="dxa"/>
              <w:right w:w="0" w:type="dxa"/>
            </w:tcMar>
            <w:vAlign w:val="center"/>
          </w:tcPr>
          <w:p w14:paraId="671567BB">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说明和要求</w:t>
            </w:r>
          </w:p>
        </w:tc>
      </w:tr>
      <w:tr w14:paraId="4EE62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24" w:hRule="atLeast"/>
        </w:trPr>
        <w:tc>
          <w:tcPr>
            <w:tcW w:w="573" w:type="dxa"/>
            <w:tcMar>
              <w:left w:w="0" w:type="dxa"/>
              <w:right w:w="0" w:type="dxa"/>
            </w:tcMar>
            <w:vAlign w:val="center"/>
          </w:tcPr>
          <w:p w14:paraId="0BCD67B3">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198" w:type="dxa"/>
            <w:tcMar>
              <w:left w:w="0" w:type="dxa"/>
              <w:right w:w="0" w:type="dxa"/>
            </w:tcMar>
            <w:vAlign w:val="center"/>
          </w:tcPr>
          <w:p w14:paraId="51B66669">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采购项目名称</w:t>
            </w:r>
          </w:p>
        </w:tc>
        <w:tc>
          <w:tcPr>
            <w:tcW w:w="5607" w:type="dxa"/>
            <w:tcMar>
              <w:left w:w="0" w:type="dxa"/>
              <w:right w:w="0" w:type="dxa"/>
            </w:tcMar>
            <w:vAlign w:val="center"/>
          </w:tcPr>
          <w:p w14:paraId="07B2AA1C">
            <w:pPr>
              <w:pStyle w:val="4"/>
              <w:spacing w:before="0" w:beforeAutospacing="0" w:after="0" w:afterAutospacing="0" w:line="24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aps w:val="0"/>
                <w:color w:val="333333"/>
                <w:spacing w:val="0"/>
                <w:sz w:val="21"/>
                <w:szCs w:val="21"/>
              </w:rPr>
              <w:t>人文社会发展学院</w:t>
            </w:r>
            <w:r>
              <w:rPr>
                <w:rFonts w:hint="eastAsia" w:asciiTheme="minorEastAsia" w:hAnsiTheme="minorEastAsia" w:eastAsiaTheme="minorEastAsia" w:cstheme="minorEastAsia"/>
                <w:i w:val="0"/>
                <w:iCs w:val="0"/>
                <w:caps w:val="0"/>
                <w:color w:val="333333"/>
                <w:spacing w:val="0"/>
                <w:sz w:val="21"/>
                <w:szCs w:val="21"/>
                <w:lang w:val="en-US" w:eastAsia="zh-CN"/>
              </w:rPr>
              <w:t>会议室电子屏制作项目</w:t>
            </w:r>
          </w:p>
        </w:tc>
      </w:tr>
      <w:tr w14:paraId="6A473E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573" w:type="dxa"/>
            <w:tcMar>
              <w:left w:w="0" w:type="dxa"/>
              <w:right w:w="0" w:type="dxa"/>
            </w:tcMar>
            <w:vAlign w:val="center"/>
          </w:tcPr>
          <w:p w14:paraId="259C8DA9">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198" w:type="dxa"/>
            <w:tcMar>
              <w:left w:w="0" w:type="dxa"/>
              <w:right w:w="0" w:type="dxa"/>
            </w:tcMar>
            <w:vAlign w:val="center"/>
          </w:tcPr>
          <w:p w14:paraId="3BED761F">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编号</w:t>
            </w:r>
          </w:p>
        </w:tc>
        <w:tc>
          <w:tcPr>
            <w:tcW w:w="5607" w:type="dxa"/>
            <w:tcMar>
              <w:left w:w="0" w:type="dxa"/>
              <w:right w:w="0" w:type="dxa"/>
            </w:tcMar>
            <w:vAlign w:val="center"/>
          </w:tcPr>
          <w:p w14:paraId="323CA6D0">
            <w:pPr>
              <w:widowControl/>
              <w:wordWrap/>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eastAsia="zh-CN"/>
              </w:rPr>
              <w:t xml:space="preserve"> </w:t>
            </w:r>
            <w:r>
              <w:rPr>
                <w:rFonts w:hint="eastAsia" w:asciiTheme="minorEastAsia" w:hAnsiTheme="minorEastAsia" w:eastAsiaTheme="minorEastAsia" w:cstheme="minorEastAsia"/>
                <w:i w:val="0"/>
                <w:iCs w:val="0"/>
                <w:caps w:val="0"/>
                <w:color w:val="000000"/>
                <w:spacing w:val="0"/>
                <w:sz w:val="21"/>
                <w:szCs w:val="21"/>
              </w:rPr>
              <w:t>RW2024-0</w:t>
            </w:r>
            <w:r>
              <w:rPr>
                <w:rFonts w:hint="eastAsia" w:asciiTheme="minorEastAsia" w:hAnsiTheme="minorEastAsia" w:eastAsiaTheme="minorEastAsia" w:cstheme="minorEastAsia"/>
                <w:i w:val="0"/>
                <w:iCs w:val="0"/>
                <w:caps w:val="0"/>
                <w:color w:val="000000"/>
                <w:spacing w:val="0"/>
                <w:sz w:val="21"/>
                <w:szCs w:val="21"/>
                <w:lang w:val="en-US" w:eastAsia="zh-CN"/>
              </w:rPr>
              <w:t>5</w:t>
            </w:r>
          </w:p>
        </w:tc>
      </w:tr>
      <w:tr w14:paraId="2ED0B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71" w:hRule="atLeast"/>
        </w:trPr>
        <w:tc>
          <w:tcPr>
            <w:tcW w:w="573" w:type="dxa"/>
            <w:tcMar>
              <w:left w:w="0" w:type="dxa"/>
              <w:right w:w="0" w:type="dxa"/>
            </w:tcMar>
            <w:vAlign w:val="center"/>
          </w:tcPr>
          <w:p w14:paraId="53AD8F60">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198" w:type="dxa"/>
            <w:tcMar>
              <w:left w:w="0" w:type="dxa"/>
              <w:right w:w="0" w:type="dxa"/>
            </w:tcMar>
            <w:vAlign w:val="center"/>
          </w:tcPr>
          <w:p w14:paraId="1CDD944E">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供应商报价</w:t>
            </w:r>
          </w:p>
          <w:p w14:paraId="4C060D16">
            <w:pPr>
              <w:pStyle w:val="3"/>
              <w:spacing w:line="240" w:lineRule="auto"/>
              <w:ind w:left="0" w:leftChars="0" w:right="0" w:rightChars="0" w:firstLine="0" w:firstLineChars="0"/>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（实质性要求）</w:t>
            </w:r>
          </w:p>
        </w:tc>
        <w:tc>
          <w:tcPr>
            <w:tcW w:w="5607" w:type="dxa"/>
            <w:tcMar>
              <w:left w:w="0" w:type="dxa"/>
              <w:right w:w="0" w:type="dxa"/>
            </w:tcMar>
            <w:vAlign w:val="center"/>
          </w:tcPr>
          <w:p w14:paraId="58676131">
            <w:pPr>
              <w:widowControl/>
              <w:tabs>
                <w:tab w:val="left" w:pos="1620"/>
              </w:tabs>
              <w:spacing w:line="240" w:lineRule="auto"/>
              <w:ind w:right="-226"/>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采购预算：</w:t>
            </w:r>
            <w:r>
              <w:rPr>
                <w:rFonts w:hint="eastAsia" w:asciiTheme="minorEastAsia" w:hAnsiTheme="minorEastAsia" w:eastAsiaTheme="minorEastAsia" w:cstheme="minorEastAsia"/>
                <w:kern w:val="0"/>
                <w:sz w:val="21"/>
                <w:szCs w:val="21"/>
                <w:lang w:val="en-US" w:eastAsia="zh-CN"/>
              </w:rPr>
              <w:t>98000</w:t>
            </w:r>
            <w:r>
              <w:rPr>
                <w:rFonts w:hint="eastAsia" w:asciiTheme="minorEastAsia" w:hAnsiTheme="minorEastAsia" w:eastAsiaTheme="minorEastAsia" w:cstheme="minorEastAsia"/>
                <w:kern w:val="0"/>
                <w:sz w:val="21"/>
                <w:szCs w:val="21"/>
              </w:rPr>
              <w:t>元</w:t>
            </w:r>
            <w:r>
              <w:rPr>
                <w:rFonts w:hint="eastAsia" w:asciiTheme="minorEastAsia" w:hAnsiTheme="minorEastAsia" w:eastAsiaTheme="minorEastAsia" w:cstheme="minorEastAsia"/>
                <w:kern w:val="0"/>
                <w:sz w:val="21"/>
                <w:szCs w:val="21"/>
                <w:lang w:val="en-US" w:eastAsia="zh-CN"/>
              </w:rPr>
              <w:t>/年</w:t>
            </w:r>
          </w:p>
          <w:p w14:paraId="0C184787">
            <w:pPr>
              <w:widowControl/>
              <w:tabs>
                <w:tab w:val="left" w:pos="1620"/>
              </w:tabs>
              <w:spacing w:line="240" w:lineRule="auto"/>
              <w:ind w:right="-226"/>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按照单价方式报价</w:t>
            </w:r>
          </w:p>
          <w:p w14:paraId="6FAE5923">
            <w:pPr>
              <w:pStyle w:val="9"/>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报价超过采购预算（最高限价）的磋商响应文件，将被视为无效响应文件</w:t>
            </w:r>
          </w:p>
        </w:tc>
      </w:tr>
      <w:tr w14:paraId="1F59DF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77" w:hRule="atLeast"/>
        </w:trPr>
        <w:tc>
          <w:tcPr>
            <w:tcW w:w="573" w:type="dxa"/>
            <w:tcMar>
              <w:left w:w="0" w:type="dxa"/>
              <w:right w:w="0" w:type="dxa"/>
            </w:tcMar>
            <w:vAlign w:val="center"/>
          </w:tcPr>
          <w:p w14:paraId="71D613A8">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198" w:type="dxa"/>
            <w:tcMar>
              <w:left w:w="0" w:type="dxa"/>
              <w:right w:w="0" w:type="dxa"/>
            </w:tcMar>
            <w:vAlign w:val="center"/>
          </w:tcPr>
          <w:p w14:paraId="032EFFCA">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磋商响应文件有效期</w:t>
            </w:r>
          </w:p>
        </w:tc>
        <w:tc>
          <w:tcPr>
            <w:tcW w:w="5607" w:type="dxa"/>
            <w:tcMar>
              <w:left w:w="0" w:type="dxa"/>
              <w:right w:w="0" w:type="dxa"/>
            </w:tcMar>
            <w:vAlign w:val="center"/>
          </w:tcPr>
          <w:p w14:paraId="3AA0BD44">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90天</w:t>
            </w:r>
          </w:p>
        </w:tc>
      </w:tr>
      <w:tr w14:paraId="15FAA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870" w:hRule="atLeast"/>
        </w:trPr>
        <w:tc>
          <w:tcPr>
            <w:tcW w:w="573" w:type="dxa"/>
            <w:tcMar>
              <w:left w:w="0" w:type="dxa"/>
              <w:right w:w="0" w:type="dxa"/>
            </w:tcMar>
            <w:vAlign w:val="center"/>
          </w:tcPr>
          <w:p w14:paraId="47A4911D">
            <w:pPr>
              <w:pStyle w:val="9"/>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2198" w:type="dxa"/>
            <w:tcMar>
              <w:left w:w="0" w:type="dxa"/>
              <w:right w:w="0" w:type="dxa"/>
            </w:tcMar>
            <w:vAlign w:val="center"/>
          </w:tcPr>
          <w:p w14:paraId="381C503C">
            <w:pPr>
              <w:pStyle w:val="9"/>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节能、环保产品政府采购政策（</w:t>
            </w:r>
            <w:r>
              <w:rPr>
                <w:rFonts w:hint="eastAsia" w:asciiTheme="minorEastAsia" w:hAnsiTheme="minorEastAsia" w:eastAsiaTheme="minorEastAsia" w:cstheme="minorEastAsia"/>
                <w:sz w:val="21"/>
                <w:szCs w:val="21"/>
              </w:rPr>
              <w:t>不适用</w:t>
            </w:r>
            <w:r>
              <w:rPr>
                <w:rFonts w:hint="eastAsia" w:asciiTheme="minorEastAsia" w:hAnsiTheme="minorEastAsia" w:eastAsiaTheme="minorEastAsia" w:cstheme="minorEastAsia"/>
                <w:sz w:val="21"/>
                <w:szCs w:val="21"/>
                <w:lang w:val="zh-CN"/>
              </w:rPr>
              <w:t>）</w:t>
            </w:r>
          </w:p>
        </w:tc>
        <w:tc>
          <w:tcPr>
            <w:tcW w:w="5607" w:type="dxa"/>
            <w:tcMar>
              <w:left w:w="0" w:type="dxa"/>
              <w:right w:w="0" w:type="dxa"/>
            </w:tcMar>
            <w:vAlign w:val="center"/>
          </w:tcPr>
          <w:p w14:paraId="16490C61">
            <w:pPr>
              <w:pStyle w:val="9"/>
              <w:spacing w:line="240" w:lineRule="auto"/>
              <w:ind w:firstLine="105" w:firstLineChars="5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节能、环保产品政府采购政策：</w:t>
            </w:r>
          </w:p>
          <w:p w14:paraId="697302BA">
            <w:pPr>
              <w:pStyle w:val="9"/>
              <w:spacing w:line="240" w:lineRule="auto"/>
              <w:ind w:firstLine="105" w:firstLineChars="5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3123981B">
            <w:pPr>
              <w:pStyle w:val="9"/>
              <w:spacing w:line="240" w:lineRule="auto"/>
              <w:ind w:firstLine="105" w:firstLineChars="5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本项目采购的产品属于品目清单范围内优先采购的，按照第五章的规则进行评审。</w:t>
            </w:r>
          </w:p>
          <w:p w14:paraId="76119DF7">
            <w:pPr>
              <w:pStyle w:val="9"/>
              <w:spacing w:line="240" w:lineRule="auto"/>
              <w:ind w:firstLine="105" w:firstLineChars="5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bl>
    <w:p w14:paraId="5A2C4235">
      <w:pPr>
        <w:widowControl/>
        <w:wordWrap/>
        <w:jc w:val="left"/>
        <w:rPr>
          <w:rFonts w:ascii="Times New Roman"/>
          <w:b/>
          <w:sz w:val="22"/>
          <w:szCs w:val="22"/>
          <w:lang w:eastAsia="zh-CN"/>
        </w:rPr>
      </w:pPr>
    </w:p>
    <w:p w14:paraId="356BB93B">
      <w:pPr>
        <w:widowControl/>
        <w:wordWrap/>
        <w:jc w:val="both"/>
        <w:rPr>
          <w:rFonts w:asciiTheme="minorEastAsia" w:hAnsiTheme="minorEastAsia" w:eastAsiaTheme="minorEastAsia"/>
          <w:b/>
          <w:sz w:val="24"/>
        </w:rPr>
      </w:pPr>
      <w:r>
        <w:rPr>
          <w:rFonts w:hint="eastAsia"/>
          <w:lang w:val="en-US" w:eastAsia="zh-CN"/>
        </w:rPr>
        <w:t>二、</w:t>
      </w:r>
      <w:r>
        <w:rPr>
          <w:rFonts w:asciiTheme="minorEastAsia" w:hAnsiTheme="minorEastAsia" w:eastAsiaTheme="minorEastAsia"/>
          <w:b/>
          <w:sz w:val="24"/>
        </w:rPr>
        <w:t>二</w:t>
      </w:r>
      <w:r>
        <w:rPr>
          <w:rFonts w:hint="eastAsia" w:asciiTheme="minorEastAsia" w:hAnsiTheme="minorEastAsia" w:eastAsiaTheme="minorEastAsia"/>
          <w:b/>
          <w:sz w:val="24"/>
          <w:lang w:eastAsia="zh-CN"/>
        </w:rPr>
        <w:t>、</w:t>
      </w:r>
      <w:r>
        <w:rPr>
          <w:rFonts w:asciiTheme="minorEastAsia" w:hAnsiTheme="minorEastAsia" w:eastAsiaTheme="minorEastAsia"/>
          <w:b/>
          <w:sz w:val="24"/>
        </w:rPr>
        <w:t>总则</w:t>
      </w:r>
    </w:p>
    <w:p w14:paraId="193DAB02">
      <w:pPr>
        <w:widowControl/>
        <w:wordWrap/>
        <w:spacing w:line="300" w:lineRule="auto"/>
        <w:jc w:val="left"/>
        <w:outlineLvl w:val="0"/>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asciiTheme="minorEastAsia" w:hAnsiTheme="minorEastAsia" w:eastAsiaTheme="minorEastAsia"/>
          <w:sz w:val="24"/>
        </w:rPr>
        <w:t>适用范围</w:t>
      </w:r>
    </w:p>
    <w:p w14:paraId="299629F3">
      <w:pPr>
        <w:widowControl/>
        <w:tabs>
          <w:tab w:val="left" w:pos="7665"/>
        </w:tabs>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1本磋商文件仅适用于本次磋商采购项目。</w:t>
      </w:r>
    </w:p>
    <w:p w14:paraId="2699FBBC">
      <w:pPr>
        <w:widowControl/>
        <w:tabs>
          <w:tab w:val="left" w:pos="7665"/>
        </w:tabs>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1.2本磋商文件的解释权归采购人所有。</w:t>
      </w:r>
    </w:p>
    <w:p w14:paraId="7E04E86D">
      <w:pPr>
        <w:widowControl/>
        <w:wordWrap/>
        <w:spacing w:line="300" w:lineRule="auto"/>
        <w:jc w:val="left"/>
        <w:outlineLvl w:val="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asciiTheme="minorEastAsia" w:hAnsiTheme="minorEastAsia" w:eastAsiaTheme="minorEastAsia"/>
          <w:sz w:val="24"/>
        </w:rPr>
        <w:t>定义</w:t>
      </w:r>
    </w:p>
    <w:p w14:paraId="6F143B72">
      <w:pPr>
        <w:widowControl/>
        <w:tabs>
          <w:tab w:val="left" w:pos="7665"/>
        </w:tabs>
        <w:wordWrap/>
        <w:spacing w:line="300" w:lineRule="auto"/>
        <w:ind w:firstLine="480"/>
        <w:rPr>
          <w:rFonts w:asciiTheme="minorEastAsia" w:hAnsiTheme="minorEastAsia" w:eastAsiaTheme="minorEastAsia"/>
          <w:sz w:val="24"/>
          <w:u w:val="single"/>
        </w:rPr>
      </w:pPr>
      <w:r>
        <w:rPr>
          <w:rFonts w:asciiTheme="minorEastAsia" w:hAnsiTheme="minorEastAsia" w:eastAsiaTheme="minorEastAsia"/>
          <w:sz w:val="24"/>
        </w:rPr>
        <w:t>2.1“采购人”系</w:t>
      </w:r>
      <w:r>
        <w:rPr>
          <w:rFonts w:asciiTheme="minorEastAsia" w:hAnsiTheme="minorEastAsia" w:eastAsiaTheme="minorEastAsia"/>
          <w:sz w:val="24"/>
          <w:u w:val="single"/>
        </w:rPr>
        <w:t>人文社会发展学院</w:t>
      </w:r>
      <w:r>
        <w:rPr>
          <w:rFonts w:hint="eastAsia" w:asciiTheme="minorEastAsia" w:hAnsiTheme="minorEastAsia" w:eastAsiaTheme="minorEastAsia"/>
          <w:sz w:val="24"/>
          <w:u w:val="single"/>
          <w:lang w:eastAsia="zh-CN"/>
        </w:rPr>
        <w:t>；</w:t>
      </w:r>
    </w:p>
    <w:p w14:paraId="0C2E6D35">
      <w:pPr>
        <w:widowControl/>
        <w:tabs>
          <w:tab w:val="left" w:pos="7665"/>
        </w:tabs>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2.2“供应商”系指响应磋商文件要求，并提交报价文件的法人、其他组织或者自然人。</w:t>
      </w:r>
    </w:p>
    <w:p w14:paraId="0A98748C">
      <w:pPr>
        <w:widowControl/>
        <w:wordWrap/>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本项目合格的供应商</w:t>
      </w:r>
    </w:p>
    <w:p w14:paraId="7BA9DCE9">
      <w:pPr>
        <w:tabs>
          <w:tab w:val="left" w:pos="7665"/>
        </w:tabs>
        <w:spacing w:line="4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合格供应商应具备以下条件：</w:t>
      </w:r>
    </w:p>
    <w:p w14:paraId="7E0920F6">
      <w:pPr>
        <w:tabs>
          <w:tab w:val="left" w:pos="7665"/>
        </w:tabs>
        <w:spacing w:line="400" w:lineRule="exact"/>
        <w:ind w:firstLine="480" w:firstLineChars="200"/>
        <w:rPr>
          <w:rFonts w:asciiTheme="minorEastAsia" w:hAnsiTheme="minorEastAsia" w:eastAsiaTheme="minorEastAsia"/>
          <w:color w:val="000000"/>
          <w:spacing w:val="-4"/>
          <w:sz w:val="24"/>
        </w:rPr>
      </w:pPr>
      <w:r>
        <w:rPr>
          <w:rFonts w:hint="eastAsia" w:asciiTheme="minorEastAsia" w:hAnsiTheme="minorEastAsia" w:eastAsiaTheme="minorEastAsia"/>
          <w:color w:val="000000"/>
          <w:sz w:val="24"/>
        </w:rPr>
        <w:t>3.1 具备法律法规和本采购文件规定的资格条件</w:t>
      </w:r>
      <w:r>
        <w:rPr>
          <w:rFonts w:hint="eastAsia" w:asciiTheme="minorEastAsia" w:hAnsiTheme="minorEastAsia" w:eastAsiaTheme="minorEastAsia"/>
          <w:color w:val="000000"/>
          <w:spacing w:val="-4"/>
          <w:sz w:val="24"/>
        </w:rPr>
        <w:t>；</w:t>
      </w:r>
    </w:p>
    <w:p w14:paraId="5D17747B">
      <w:pPr>
        <w:tabs>
          <w:tab w:val="left" w:pos="7665"/>
        </w:tabs>
        <w:spacing w:line="400" w:lineRule="exact"/>
        <w:ind w:firstLine="464" w:firstLineChars="200"/>
        <w:rPr>
          <w:rFonts w:asciiTheme="minorEastAsia" w:hAnsiTheme="minorEastAsia" w:eastAsiaTheme="minorEastAsia"/>
          <w:color w:val="000000"/>
          <w:spacing w:val="-4"/>
          <w:sz w:val="24"/>
        </w:rPr>
      </w:pPr>
      <w:r>
        <w:rPr>
          <w:rFonts w:hint="eastAsia" w:asciiTheme="minorEastAsia" w:hAnsiTheme="minorEastAsia" w:eastAsiaTheme="minorEastAsia"/>
          <w:color w:val="000000"/>
          <w:spacing w:val="-4"/>
          <w:sz w:val="24"/>
        </w:rPr>
        <w:t>3.2 不属于禁止参加本项目采购活动的</w:t>
      </w:r>
      <w:r>
        <w:rPr>
          <w:rFonts w:hint="eastAsia" w:asciiTheme="minorEastAsia" w:hAnsiTheme="minorEastAsia" w:eastAsiaTheme="minorEastAsia"/>
          <w:spacing w:val="-4"/>
          <w:sz w:val="24"/>
        </w:rPr>
        <w:t>供应商</w:t>
      </w:r>
      <w:r>
        <w:rPr>
          <w:rFonts w:hint="eastAsia" w:asciiTheme="minorEastAsia" w:hAnsiTheme="minorEastAsia" w:eastAsiaTheme="minorEastAsia"/>
          <w:color w:val="000000"/>
          <w:spacing w:val="-4"/>
          <w:sz w:val="24"/>
        </w:rPr>
        <w:t>；</w:t>
      </w:r>
    </w:p>
    <w:p w14:paraId="44A75C91">
      <w:pPr>
        <w:tabs>
          <w:tab w:val="left" w:pos="7665"/>
        </w:tabs>
        <w:spacing w:line="400" w:lineRule="exact"/>
        <w:ind w:firstLine="464" w:firstLineChars="200"/>
        <w:rPr>
          <w:rFonts w:asciiTheme="minorEastAsia" w:hAnsiTheme="minorEastAsia" w:eastAsiaTheme="minorEastAsia"/>
          <w:color w:val="000000"/>
          <w:spacing w:val="-4"/>
          <w:sz w:val="24"/>
          <w:lang w:eastAsia="zh-CN"/>
        </w:rPr>
      </w:pPr>
      <w:r>
        <w:rPr>
          <w:rFonts w:hint="eastAsia" w:asciiTheme="minorEastAsia" w:hAnsiTheme="minorEastAsia" w:eastAsiaTheme="minorEastAsia"/>
          <w:color w:val="000000"/>
          <w:spacing w:val="-4"/>
          <w:sz w:val="24"/>
        </w:rPr>
        <w:t>3.3 按照规定</w:t>
      </w:r>
      <w:r>
        <w:rPr>
          <w:rFonts w:hint="eastAsia" w:asciiTheme="minorEastAsia" w:hAnsiTheme="minorEastAsia" w:eastAsiaTheme="minorEastAsia"/>
          <w:color w:val="000000"/>
          <w:sz w:val="24"/>
        </w:rPr>
        <w:t>获取了磋商文件</w:t>
      </w:r>
      <w:r>
        <w:rPr>
          <w:rFonts w:hint="eastAsia" w:asciiTheme="minorEastAsia" w:hAnsiTheme="minorEastAsia" w:eastAsiaTheme="minorEastAsia"/>
          <w:b/>
          <w:color w:val="000000"/>
          <w:sz w:val="24"/>
        </w:rPr>
        <w:t>（实质性</w:t>
      </w:r>
      <w:r>
        <w:rPr>
          <w:rFonts w:asciiTheme="minorEastAsia" w:hAnsiTheme="minorEastAsia" w:eastAsiaTheme="minorEastAsia"/>
          <w:b/>
          <w:color w:val="000000"/>
          <w:sz w:val="24"/>
        </w:rPr>
        <w:t>要求</w:t>
      </w:r>
      <w:r>
        <w:rPr>
          <w:rFonts w:hint="eastAsia" w:asciiTheme="minorEastAsia" w:hAnsiTheme="minorEastAsia" w:eastAsiaTheme="minorEastAsia"/>
          <w:b/>
          <w:color w:val="000000"/>
          <w:sz w:val="24"/>
        </w:rPr>
        <w:t>）</w:t>
      </w:r>
      <w:r>
        <w:rPr>
          <w:rFonts w:hint="eastAsia" w:asciiTheme="minorEastAsia" w:hAnsiTheme="minorEastAsia" w:eastAsiaTheme="minorEastAsia"/>
          <w:color w:val="000000"/>
          <w:sz w:val="24"/>
        </w:rPr>
        <w:t>。</w:t>
      </w:r>
    </w:p>
    <w:p w14:paraId="2497D661">
      <w:pPr>
        <w:widowControl/>
        <w:wordWrap/>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关系供应商限制</w:t>
      </w:r>
    </w:p>
    <w:p w14:paraId="1FC40D93">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4</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利害关系供应商处理。单位负责人为同一人或者存在直接控股、管理关系的不同供应商不得参加同一合同项下的政府采购活动。</w:t>
      </w:r>
    </w:p>
    <w:p w14:paraId="674F867E">
      <w:pPr>
        <w:tabs>
          <w:tab w:val="left" w:pos="7665"/>
        </w:tabs>
        <w:spacing w:line="400" w:lineRule="exact"/>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4</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前期参与供应商处理。为采购项目提供整体设计、规范编制或者项目管理、监理、检测等服务的供应商，不得再参加该采购项目的其他采购活动。</w:t>
      </w:r>
    </w:p>
    <w:p w14:paraId="40FF3FE4">
      <w:pPr>
        <w:pStyle w:val="10"/>
        <w:spacing w:line="400" w:lineRule="exact"/>
        <w:ind w:left="1" w:firstLine="480" w:firstLineChars="200"/>
        <w:rPr>
          <w:rFonts w:asciiTheme="minorEastAsia" w:hAnsiTheme="minorEastAsia" w:eastAsiaTheme="minorEastAsia"/>
          <w:b/>
          <w:bCs/>
          <w:color w:val="000000"/>
          <w:sz w:val="24"/>
        </w:rPr>
      </w:pPr>
      <w:r>
        <w:rPr>
          <w:rFonts w:hint="eastAsia" w:asciiTheme="minorEastAsia" w:hAnsiTheme="minorEastAsia" w:eastAsiaTheme="minorEastAsia"/>
          <w:color w:val="000000"/>
          <w:sz w:val="24"/>
        </w:rPr>
        <w:t>4.3</w:t>
      </w:r>
      <w:r>
        <w:rPr>
          <w:rFonts w:hint="eastAsia" w:hAnsi="宋体" w:eastAsiaTheme="minorEastAsia"/>
          <w:color w:val="000000"/>
          <w:sz w:val="24"/>
        </w:rPr>
        <w:t xml:space="preserve"> </w:t>
      </w:r>
      <w:r>
        <w:rPr>
          <w:rFonts w:hint="eastAsia" w:hAnsi="宋体"/>
          <w:color w:val="000000"/>
          <w:sz w:val="24"/>
        </w:rPr>
        <w:t>利害关系授权代表处理。</w:t>
      </w:r>
      <w:r>
        <w:rPr>
          <w:rFonts w:hint="eastAsia" w:hAnsi="宋体"/>
          <w:sz w:val="24"/>
        </w:rPr>
        <w:t>两</w:t>
      </w:r>
      <w:r>
        <w:rPr>
          <w:rFonts w:hint="eastAsia" w:hAnsi="宋体"/>
          <w:color w:val="000000"/>
          <w:sz w:val="24"/>
        </w:rPr>
        <w:t>家以上的供应商不得在同一合同项下的采购项目中，委托同一个自然人、同一家庭的人员、同一单位的人员作为其授权代表，否则，其响应文件作为无效处理。</w:t>
      </w:r>
    </w:p>
    <w:p w14:paraId="5FBA9D55">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4</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eastAsia="zh-CN"/>
        </w:rPr>
        <w:t>4</w:t>
      </w:r>
      <w:r>
        <w:rPr>
          <w:rFonts w:hint="eastAsia" w:asciiTheme="minorEastAsia" w:hAnsiTheme="minorEastAsia" w:eastAsiaTheme="minorEastAsia"/>
          <w:color w:val="000000"/>
          <w:sz w:val="24"/>
        </w:rPr>
        <w:t>回避。采购活动中，采购人员及相关人员与供应商有下列利害关系之一的，应当回避：</w:t>
      </w:r>
    </w:p>
    <w:p w14:paraId="27B85E83">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（1）参加采购活动前3年内与供应商存在劳动关系；</w:t>
      </w:r>
    </w:p>
    <w:p w14:paraId="26DB704D">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（2）参加采购活动前3年内担任供应商的董事、监事；</w:t>
      </w:r>
    </w:p>
    <w:p w14:paraId="4321B479">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（3）参加采购活动前3年内是供应商的控股股东或者实际控制人；</w:t>
      </w:r>
    </w:p>
    <w:p w14:paraId="3CD1F8CD">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（4）与供应商的法定代表人或者负责人有夫妻、直系血亲、三代以内旁系血亲或者近姻亲关系；</w:t>
      </w:r>
    </w:p>
    <w:p w14:paraId="7C19B5E6">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（5）与供应商有其他可能影响政府采购活动公平、公正进行的关系。</w:t>
      </w:r>
    </w:p>
    <w:p w14:paraId="329FCE00">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本项目政府采购活动中需要依法回避的相关人员是指磋商小组成员。</w:t>
      </w:r>
    </w:p>
    <w:p w14:paraId="692801D5">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2BE2CAF7">
      <w:pPr>
        <w:widowControl/>
        <w:wordWrap/>
        <w:spacing w:line="300" w:lineRule="auto"/>
        <w:jc w:val="left"/>
        <w:rPr>
          <w:rFonts w:asciiTheme="minorEastAsia" w:hAnsiTheme="minorEastAsia" w:eastAsiaTheme="minorEastAsia"/>
          <w:b/>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磋商采购费用</w:t>
      </w:r>
      <w:r>
        <w:rPr>
          <w:rFonts w:hint="eastAsia" w:asciiTheme="minorEastAsia" w:hAnsiTheme="minorEastAsia" w:eastAsiaTheme="minorEastAsia"/>
          <w:b/>
          <w:sz w:val="24"/>
        </w:rPr>
        <w:t>（实质性要求）</w:t>
      </w:r>
    </w:p>
    <w:p w14:paraId="7BAE9963">
      <w:pPr>
        <w:wordWrap/>
        <w:spacing w:line="300" w:lineRule="auto"/>
        <w:ind w:firstLine="480"/>
        <w:rPr>
          <w:rFonts w:asciiTheme="minorEastAsia" w:hAnsiTheme="minorEastAsia" w:eastAsiaTheme="minorEastAsia"/>
          <w:sz w:val="24"/>
          <w:lang w:eastAsia="zh-CN"/>
        </w:rPr>
      </w:pPr>
      <w:r>
        <w:rPr>
          <w:rFonts w:asciiTheme="minorEastAsia" w:hAnsiTheme="minorEastAsia" w:eastAsiaTheme="minorEastAsia"/>
          <w:sz w:val="24"/>
        </w:rPr>
        <w:t>供应商自行承担所有与参加磋商有关的全部费用。</w:t>
      </w:r>
    </w:p>
    <w:p w14:paraId="73EA9247">
      <w:pPr>
        <w:widowControl/>
        <w:wordWrap/>
        <w:spacing w:line="300" w:lineRule="auto"/>
        <w:jc w:val="left"/>
        <w:rPr>
          <w:rFonts w:asciiTheme="minorEastAsia" w:hAnsiTheme="minorEastAsia" w:eastAsiaTheme="minorEastAsia"/>
          <w:b/>
          <w:bCs/>
          <w:sz w:val="24"/>
          <w:lang w:eastAsia="zh-CN"/>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b/>
          <w:bCs/>
          <w:sz w:val="24"/>
          <w:lang w:eastAsia="zh-CN"/>
        </w:rPr>
        <w:t>知识产权（实质性要求）</w:t>
      </w:r>
    </w:p>
    <w:p w14:paraId="32223124">
      <w:pPr>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6</w:t>
      </w:r>
      <w:r>
        <w:rPr>
          <w:rFonts w:asciiTheme="minorEastAsia" w:hAnsiTheme="minorEastAsia" w:eastAsiaTheme="minorEastAsia"/>
          <w:sz w:val="24"/>
        </w:rPr>
        <w:t>.1</w:t>
      </w:r>
      <w:r>
        <w:rPr>
          <w:rFonts w:hint="eastAsia" w:asciiTheme="minorEastAsia" w:hAnsiTheme="minorEastAsia" w:eastAsiaTheme="minorEastAsia"/>
          <w:sz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2C375FC0">
      <w:pPr>
        <w:wordWrap/>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6</w:t>
      </w:r>
      <w:r>
        <w:rPr>
          <w:rFonts w:asciiTheme="minorEastAsia" w:hAnsiTheme="minorEastAsia" w:eastAsiaTheme="minorEastAsia"/>
          <w:sz w:val="24"/>
        </w:rPr>
        <w:t>.2</w:t>
      </w:r>
      <w:r>
        <w:rPr>
          <w:rFonts w:hint="eastAsia" w:asciiTheme="minorEastAsia" w:hAnsiTheme="minorEastAsia" w:eastAsiaTheme="minorEastAsia"/>
          <w:sz w:val="24"/>
        </w:rPr>
        <w:t>除非磋商文件特别规定，采购人享有本项目实施过程中产生的知识成果及知识产权。</w:t>
      </w:r>
    </w:p>
    <w:p w14:paraId="2D782C31">
      <w:pPr>
        <w:wordWrap/>
        <w:spacing w:line="360" w:lineRule="auto"/>
        <w:ind w:firstLine="48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6</w:t>
      </w:r>
      <w:r>
        <w:rPr>
          <w:rFonts w:asciiTheme="minorEastAsia" w:hAnsiTheme="minorEastAsia" w:eastAsiaTheme="minorEastAsia"/>
          <w:sz w:val="24"/>
        </w:rPr>
        <w:t>.3</w:t>
      </w:r>
      <w:r>
        <w:rPr>
          <w:rFonts w:hint="eastAsia" w:asciiTheme="minorEastAsia" w:hAnsiTheme="minorEastAsia" w:eastAsiaTheme="minor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r>
        <w:rPr>
          <w:rFonts w:hint="eastAsia" w:asciiTheme="minorEastAsia" w:hAnsiTheme="minorEastAsia" w:eastAsiaTheme="minorEastAsia"/>
          <w:sz w:val="24"/>
          <w:lang w:eastAsia="zh-CN"/>
        </w:rPr>
        <w:t>。</w:t>
      </w:r>
    </w:p>
    <w:p w14:paraId="72F60140">
      <w:pPr>
        <w:wordWrap/>
        <w:spacing w:line="360" w:lineRule="auto"/>
        <w:ind w:firstLine="480"/>
        <w:rPr>
          <w:lang w:eastAsia="zh-CN"/>
        </w:rPr>
      </w:pPr>
      <w:r>
        <w:rPr>
          <w:rFonts w:hint="eastAsia" w:asciiTheme="minorEastAsia" w:hAnsiTheme="minorEastAsia" w:eastAsiaTheme="minorEastAsia"/>
          <w:sz w:val="24"/>
          <w:lang w:eastAsia="zh-CN"/>
        </w:rPr>
        <w:t>6</w:t>
      </w:r>
      <w:r>
        <w:rPr>
          <w:rFonts w:asciiTheme="minorEastAsia" w:hAnsiTheme="minorEastAsia" w:eastAsiaTheme="minorEastAsia"/>
          <w:sz w:val="24"/>
        </w:rPr>
        <w:t>.4</w:t>
      </w:r>
      <w:r>
        <w:rPr>
          <w:rFonts w:hint="eastAsia" w:asciiTheme="minorEastAsia" w:hAnsiTheme="minorEastAsia" w:eastAsiaTheme="minorEastAsia"/>
          <w:sz w:val="24"/>
        </w:rPr>
        <w:t>如采用供应商所不拥有的知识产权，则在报价中必须包括合法获取该知识产权的相关费用。</w:t>
      </w:r>
      <w:r>
        <w:rPr>
          <w:rFonts w:hint="eastAsia"/>
          <w:lang w:eastAsia="zh-CN"/>
        </w:rPr>
        <w:t xml:space="preserve"> </w:t>
      </w:r>
    </w:p>
    <w:p w14:paraId="4DF3D350">
      <w:pPr>
        <w:widowControl/>
        <w:wordWrap/>
        <w:spacing w:line="360" w:lineRule="auto"/>
        <w:ind w:left="0" w:leftChars="0" w:right="0" w:rightChars="0" w:firstLine="0" w:firstLineChars="0"/>
        <w:jc w:val="both"/>
        <w:rPr>
          <w:rFonts w:asciiTheme="minorEastAsia" w:hAnsiTheme="minorEastAsia" w:eastAsiaTheme="minorEastAsia"/>
          <w:b/>
          <w:sz w:val="24"/>
        </w:rPr>
      </w:pPr>
      <w:r>
        <w:rPr>
          <w:rFonts w:hint="eastAsia" w:asciiTheme="minorEastAsia" w:hAnsiTheme="minorEastAsia" w:eastAsiaTheme="minorEastAsia"/>
          <w:b/>
          <w:sz w:val="24"/>
          <w:lang w:eastAsia="zh-CN"/>
        </w:rPr>
        <w:t>三、</w:t>
      </w:r>
      <w:r>
        <w:rPr>
          <w:rFonts w:asciiTheme="minorEastAsia" w:hAnsiTheme="minorEastAsia" w:eastAsiaTheme="minorEastAsia"/>
          <w:b/>
          <w:sz w:val="24"/>
        </w:rPr>
        <w:t>磋商文件</w:t>
      </w:r>
    </w:p>
    <w:p w14:paraId="1AB4D1B1">
      <w:pPr>
        <w:widowControl/>
        <w:wordWrap/>
        <w:spacing w:line="360" w:lineRule="auto"/>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磋商文件</w:t>
      </w:r>
    </w:p>
    <w:p w14:paraId="3DF6FC1C">
      <w:pPr>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磋商文件是采购人用以阐明所需提供的服务、磋商采购的程序和评定成交供应商的标准、合同草案条款等内容的文件。</w:t>
      </w:r>
    </w:p>
    <w:p w14:paraId="2E0DE350">
      <w:pPr>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7</w:t>
      </w:r>
      <w:r>
        <w:rPr>
          <w:rFonts w:asciiTheme="minorEastAsia" w:hAnsiTheme="minorEastAsia" w:eastAsiaTheme="minorEastAsia"/>
          <w:sz w:val="24"/>
        </w:rPr>
        <w:t>.2 磋商文件的组成</w:t>
      </w:r>
    </w:p>
    <w:p w14:paraId="14B1F22D">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（2）磋商须知</w:t>
      </w:r>
    </w:p>
    <w:p w14:paraId="03547291">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（3）供应商资格证明文件</w:t>
      </w:r>
    </w:p>
    <w:p w14:paraId="77FD5CCA">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）磋商程序</w:t>
      </w:r>
    </w:p>
    <w:p w14:paraId="2AF74A18">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lang w:eastAsia="zh-CN"/>
        </w:rPr>
        <w:t>技术/服务</w:t>
      </w:r>
      <w:r>
        <w:rPr>
          <w:rFonts w:asciiTheme="minorEastAsia" w:hAnsiTheme="minorEastAsia" w:eastAsiaTheme="minorEastAsia"/>
          <w:sz w:val="24"/>
        </w:rPr>
        <w:t>及商务要求</w:t>
      </w:r>
    </w:p>
    <w:p w14:paraId="1A37C3C9">
      <w:pPr>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供应商应详细阅读磋商文件的全部内容，并实质性响应磋商文件的要求。</w:t>
      </w:r>
    </w:p>
    <w:p w14:paraId="13F0696F">
      <w:pPr>
        <w:spacing w:line="30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7</w:t>
      </w:r>
      <w:r>
        <w:rPr>
          <w:rFonts w:asciiTheme="minorEastAsia" w:hAnsiTheme="minorEastAsia" w:eastAsiaTheme="minorEastAsia"/>
          <w:sz w:val="24"/>
        </w:rPr>
        <w:t>.4</w:t>
      </w:r>
      <w:r>
        <w:rPr>
          <w:rFonts w:hint="eastAsia" w:asciiTheme="minorEastAsia" w:hAnsiTheme="minorEastAsia" w:eastAsiaTheme="minorEastAsia"/>
          <w:sz w:val="24"/>
          <w:lang w:eastAsia="zh-CN"/>
        </w:rPr>
        <w:t xml:space="preserve"> </w:t>
      </w:r>
      <w:r>
        <w:rPr>
          <w:rFonts w:hint="eastAsia" w:asciiTheme="minorEastAsia" w:hAnsiTheme="minorEastAsia" w:eastAsiaTheme="minorEastAsia"/>
          <w:sz w:val="24"/>
        </w:rPr>
        <w:t>提交首次响应文件截止之日前，采购人可以对已发出的磋商文件进行必要的澄清或者修改，澄清或者修改的内容作为磋商文件的组成部分。澄清或者修改的内容可能影响响应文件编制的，采购人应当在提交首次响应文件截止时间至少5日前，以书面形式通知所有获取磋商文件的供应商；不足5日的，采购人应当顺延提交首次响应文件截止时间。</w:t>
      </w:r>
    </w:p>
    <w:p w14:paraId="296CCFD6">
      <w:pPr>
        <w:spacing w:line="300" w:lineRule="auto"/>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四、</w:t>
      </w:r>
      <w:r>
        <w:rPr>
          <w:rFonts w:asciiTheme="minorEastAsia" w:hAnsiTheme="minorEastAsia" w:eastAsiaTheme="minorEastAsia"/>
          <w:b/>
          <w:sz w:val="24"/>
          <w:lang w:eastAsia="zh-CN"/>
        </w:rPr>
        <w:t>磋商</w:t>
      </w:r>
      <w:r>
        <w:rPr>
          <w:rFonts w:hint="eastAsia" w:asciiTheme="minorEastAsia" w:hAnsiTheme="minorEastAsia" w:eastAsiaTheme="minorEastAsia"/>
          <w:b/>
          <w:sz w:val="24"/>
          <w:lang w:eastAsia="zh-CN"/>
        </w:rPr>
        <w:t>响应</w:t>
      </w:r>
      <w:r>
        <w:rPr>
          <w:rFonts w:asciiTheme="minorEastAsia" w:hAnsiTheme="minorEastAsia" w:eastAsiaTheme="minorEastAsia"/>
          <w:b/>
          <w:sz w:val="24"/>
          <w:lang w:eastAsia="zh-CN"/>
        </w:rPr>
        <w:t>文件</w:t>
      </w:r>
    </w:p>
    <w:p w14:paraId="0FE45209">
      <w:pPr>
        <w:widowControl/>
        <w:wordWrap/>
        <w:spacing w:line="300" w:lineRule="auto"/>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响应文件</w:t>
      </w:r>
    </w:p>
    <w:p w14:paraId="56904546">
      <w:pPr>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 xml:space="preserve">8.1 </w:t>
      </w:r>
      <w:r>
        <w:rPr>
          <w:rFonts w:hint="eastAsia" w:asciiTheme="minorEastAsia" w:hAnsiTheme="minorEastAsia" w:eastAsiaTheme="minorEastAsia"/>
          <w:sz w:val="24"/>
        </w:rPr>
        <w:t>供应商提交的响应文件以及供应商与</w:t>
      </w:r>
      <w:r>
        <w:rPr>
          <w:rFonts w:hint="eastAsia" w:asciiTheme="minorEastAsia" w:hAnsiTheme="minorEastAsia" w:eastAsiaTheme="minorEastAsia"/>
          <w:sz w:val="24"/>
          <w:lang w:val="en-US" w:eastAsia="zh-CN"/>
        </w:rPr>
        <w:t>采购工作组</w:t>
      </w:r>
      <w:r>
        <w:rPr>
          <w:rFonts w:hint="eastAsia" w:asciiTheme="minorEastAsia" w:hAnsiTheme="minorEastAsia" w:eastAsiaTheme="minorEastAsia"/>
          <w:sz w:val="24"/>
        </w:rPr>
        <w:t>就有关响应的所有来往书面文件均须使用中文。响应文件中如附有外文资料，主要部分对应翻译成中文并加盖供应商公章后附在相关外文资料后面。</w:t>
      </w:r>
    </w:p>
    <w:p w14:paraId="24A4F1A1">
      <w:pPr>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w:t>
      </w: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1</w:t>
      </w:r>
      <w:r>
        <w:rPr>
          <w:rFonts w:hint="eastAsia" w:asciiTheme="minorEastAsia" w:hAnsiTheme="minorEastAsia" w:eastAsiaTheme="minorEastAsia"/>
          <w:sz w:val="24"/>
        </w:rPr>
        <w:t>翻译的中文资料与外文资料如果出现差异和矛盾时，以中文为准</w:t>
      </w:r>
      <w:r>
        <w:rPr>
          <w:rFonts w:hint="eastAsia" w:asciiTheme="minorEastAsia" w:hAnsiTheme="minorEastAsia" w:eastAsiaTheme="minorEastAsia"/>
          <w:sz w:val="24"/>
          <w:lang w:eastAsia="zh-CN"/>
        </w:rPr>
        <w:t>，涉嫌虚假响应的按照相关法律法规处理。</w:t>
      </w:r>
    </w:p>
    <w:p w14:paraId="0C99C3BF">
      <w:pPr>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8</w:t>
      </w: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2</w:t>
      </w:r>
      <w:r>
        <w:rPr>
          <w:rFonts w:hint="eastAsia" w:asciiTheme="minorEastAsia" w:hAnsiTheme="minorEastAsia" w:eastAsiaTheme="minorEastAsia"/>
          <w:sz w:val="24"/>
        </w:rPr>
        <w:t>未翻译的外文资料，磋商小组可将其视为无效材料。</w:t>
      </w:r>
    </w:p>
    <w:p w14:paraId="66F2E647">
      <w:pPr>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w:t>
      </w: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3</w:t>
      </w:r>
      <w:r>
        <w:rPr>
          <w:rFonts w:hint="eastAsia" w:asciiTheme="minorEastAsia" w:hAnsiTheme="minorEastAsia" w:eastAsiaTheme="minorEastAsia"/>
          <w:sz w:val="24"/>
        </w:rPr>
        <w:t>除磋商文件中另有规定外，本次采购项目所有合同项下的报价均采用国家法定的计量单位。</w:t>
      </w:r>
      <w:r>
        <w:rPr>
          <w:rFonts w:hint="eastAsia" w:asciiTheme="minorEastAsia" w:hAnsiTheme="minorEastAsia" w:eastAsiaTheme="minorEastAsia"/>
          <w:b/>
          <w:sz w:val="24"/>
        </w:rPr>
        <w:t>（实质性要求）</w:t>
      </w:r>
    </w:p>
    <w:p w14:paraId="79F5F470">
      <w:pPr>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8</w:t>
      </w:r>
      <w:r>
        <w:rPr>
          <w:rFonts w:hint="eastAsia" w:asciiTheme="minorEastAsia" w:hAnsiTheme="minorEastAsia" w:eastAsiaTheme="minorEastAsia"/>
          <w:sz w:val="24"/>
        </w:rPr>
        <w:t xml:space="preserve">.2 </w:t>
      </w:r>
      <w:r>
        <w:rPr>
          <w:rFonts w:asciiTheme="minorEastAsia" w:hAnsiTheme="minorEastAsia" w:eastAsiaTheme="minorEastAsia"/>
          <w:sz w:val="24"/>
        </w:rPr>
        <w:t>供应商须按磋商文件的要求</w:t>
      </w:r>
      <w:r>
        <w:rPr>
          <w:rFonts w:hint="eastAsia" w:asciiTheme="minorEastAsia" w:hAnsiTheme="minorEastAsia" w:eastAsiaTheme="minorEastAsia"/>
          <w:sz w:val="24"/>
          <w:lang w:eastAsia="zh-CN"/>
        </w:rPr>
        <w:t>编制</w:t>
      </w:r>
      <w:r>
        <w:rPr>
          <w:rFonts w:asciiTheme="minorEastAsia" w:hAnsiTheme="minorEastAsia" w:eastAsiaTheme="minorEastAsia"/>
          <w:sz w:val="24"/>
        </w:rPr>
        <w:t>响应文件</w:t>
      </w:r>
      <w:r>
        <w:rPr>
          <w:rFonts w:hint="eastAsia" w:asciiTheme="minorEastAsia" w:hAnsiTheme="minorEastAsia" w:eastAsiaTheme="minorEastAsia"/>
          <w:sz w:val="24"/>
          <w:lang w:eastAsia="zh-CN"/>
        </w:rPr>
        <w:t>。供应商编写的响应文件应包括（但不限于）下列部分：</w:t>
      </w:r>
    </w:p>
    <w:p w14:paraId="42F76D55">
      <w:pPr>
        <w:widowControl/>
        <w:wordWrap/>
        <w:spacing w:line="300" w:lineRule="auto"/>
        <w:ind w:firstLine="480"/>
        <w:jc w:val="left"/>
        <w:rPr>
          <w:rFonts w:asciiTheme="minorEastAsia" w:hAnsiTheme="minorEastAsia" w:eastAsiaTheme="minorEastAsia"/>
          <w:sz w:val="24"/>
        </w:rPr>
      </w:pPr>
      <w:r>
        <w:rPr>
          <w:rFonts w:asciiTheme="minorEastAsia" w:hAnsiTheme="minorEastAsia" w:eastAsiaTheme="minorEastAsia"/>
          <w:sz w:val="24"/>
        </w:rPr>
        <w:t>文件一：资格性响应文件</w:t>
      </w:r>
    </w:p>
    <w:p w14:paraId="3BF27010">
      <w:pPr>
        <w:spacing w:line="30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符合磋商文件第</w:t>
      </w:r>
      <w:r>
        <w:rPr>
          <w:rFonts w:hint="eastAsia" w:asciiTheme="minorEastAsia" w:hAnsiTheme="minorEastAsia" w:eastAsiaTheme="minorEastAsia"/>
          <w:sz w:val="24"/>
          <w:lang w:val="en-US" w:eastAsia="zh-CN"/>
        </w:rPr>
        <w:t>二</w:t>
      </w:r>
      <w:r>
        <w:rPr>
          <w:rFonts w:asciiTheme="minorEastAsia" w:hAnsiTheme="minorEastAsia" w:eastAsiaTheme="minorEastAsia"/>
          <w:sz w:val="24"/>
        </w:rPr>
        <w:t>章规定的资格证明材料。</w:t>
      </w:r>
    </w:p>
    <w:p w14:paraId="47B59FBE">
      <w:pPr>
        <w:widowControl/>
        <w:wordWrap/>
        <w:spacing w:line="300" w:lineRule="auto"/>
        <w:ind w:firstLine="480"/>
        <w:jc w:val="left"/>
        <w:rPr>
          <w:rFonts w:asciiTheme="minorEastAsia" w:hAnsiTheme="minorEastAsia" w:eastAsiaTheme="minorEastAsia"/>
          <w:sz w:val="24"/>
        </w:rPr>
      </w:pPr>
      <w:r>
        <w:rPr>
          <w:rFonts w:asciiTheme="minorEastAsia" w:hAnsiTheme="minorEastAsia" w:eastAsiaTheme="minorEastAsia"/>
          <w:sz w:val="24"/>
        </w:rPr>
        <w:t>文件二：技术、服务性响应文件</w:t>
      </w:r>
    </w:p>
    <w:p w14:paraId="04B8EAC0">
      <w:pPr>
        <w:widowControl/>
        <w:wordWrap/>
        <w:spacing w:line="300" w:lineRule="auto"/>
        <w:ind w:firstLine="480"/>
        <w:jc w:val="left"/>
        <w:rPr>
          <w:rFonts w:asciiTheme="minorEastAsia" w:hAnsiTheme="minorEastAsia" w:eastAsiaTheme="minorEastAsia"/>
          <w:sz w:val="24"/>
        </w:rPr>
      </w:pPr>
      <w:r>
        <w:rPr>
          <w:rFonts w:asciiTheme="minorEastAsia" w:hAnsiTheme="minorEastAsia" w:eastAsiaTheme="minorEastAsia"/>
          <w:sz w:val="24"/>
        </w:rPr>
        <w:t>包括响应函、技术</w:t>
      </w:r>
      <w:r>
        <w:rPr>
          <w:rFonts w:hint="eastAsia" w:asciiTheme="minorEastAsia" w:hAnsiTheme="minorEastAsia" w:eastAsiaTheme="minorEastAsia"/>
          <w:sz w:val="24"/>
        </w:rPr>
        <w:t>服务</w:t>
      </w:r>
      <w:r>
        <w:rPr>
          <w:rFonts w:asciiTheme="minorEastAsia" w:hAnsiTheme="minorEastAsia" w:eastAsiaTheme="minorEastAsia"/>
          <w:sz w:val="24"/>
        </w:rPr>
        <w:t>响应/偏离表、商务要求响应/偏离表、质量保证和售后服务承诺、服务计划及承诺、初次报价等文件。</w:t>
      </w:r>
    </w:p>
    <w:p w14:paraId="122068D3">
      <w:pPr>
        <w:widowControl/>
        <w:wordWrap/>
        <w:spacing w:line="300" w:lineRule="auto"/>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asciiTheme="minorEastAsia" w:hAnsiTheme="minorEastAsia" w:eastAsiaTheme="minorEastAsia"/>
          <w:sz w:val="24"/>
        </w:rPr>
        <w:t>报价</w:t>
      </w:r>
      <w:r>
        <w:rPr>
          <w:rFonts w:hint="eastAsia" w:asciiTheme="minorEastAsia" w:hAnsiTheme="minorEastAsia" w:eastAsiaTheme="minorEastAsia"/>
          <w:b/>
          <w:sz w:val="24"/>
        </w:rPr>
        <w:t>（实质性要求）</w:t>
      </w:r>
    </w:p>
    <w:p w14:paraId="759E2BA0">
      <w:pPr>
        <w:widowControl/>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9</w:t>
      </w:r>
      <w:r>
        <w:rPr>
          <w:rFonts w:asciiTheme="minorEastAsia" w:hAnsiTheme="minorEastAsia" w:eastAsiaTheme="minorEastAsia"/>
          <w:sz w:val="24"/>
        </w:rPr>
        <w:t>.1所有报价一律以人民币报价。</w:t>
      </w:r>
    </w:p>
    <w:p w14:paraId="26DCECC0">
      <w:pPr>
        <w:widowControl/>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asciiTheme="minorEastAsia" w:hAnsiTheme="minorEastAsia" w:eastAsiaTheme="minorEastAsia"/>
          <w:sz w:val="24"/>
        </w:rPr>
        <w:t>.2供应商报价应为完成本磋商文件中所要求的货物/服务/工程所应包括内容的所有价格。</w:t>
      </w:r>
    </w:p>
    <w:p w14:paraId="0B6DDD6D">
      <w:pPr>
        <w:widowControl/>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9.3</w:t>
      </w:r>
      <w:r>
        <w:rPr>
          <w:rFonts w:asciiTheme="minorEastAsia" w:hAnsiTheme="minorEastAsia" w:eastAsiaTheme="minorEastAsia"/>
          <w:sz w:val="24"/>
          <w:lang w:eastAsia="zh-CN"/>
        </w:rPr>
        <w:t>供应商</w:t>
      </w:r>
      <w:r>
        <w:rPr>
          <w:rFonts w:hint="eastAsia" w:asciiTheme="minorEastAsia" w:hAnsiTheme="minorEastAsia" w:eastAsiaTheme="minorEastAsia"/>
          <w:sz w:val="24"/>
          <w:lang w:eastAsia="zh-CN"/>
        </w:rPr>
        <w:t>报价不允许有备选方案，且报价不允许有选择性，否则</w:t>
      </w:r>
      <w:r>
        <w:rPr>
          <w:rFonts w:asciiTheme="minorEastAsia" w:hAnsiTheme="minorEastAsia" w:eastAsiaTheme="minorEastAsia"/>
          <w:sz w:val="24"/>
        </w:rPr>
        <w:t>将视为无效报价，其响应文件将被视为无效响应文件处理</w:t>
      </w:r>
      <w:r>
        <w:rPr>
          <w:rFonts w:hint="eastAsia" w:asciiTheme="minorEastAsia" w:hAnsiTheme="minorEastAsia" w:eastAsiaTheme="minorEastAsia"/>
          <w:sz w:val="24"/>
          <w:lang w:eastAsia="zh-CN"/>
        </w:rPr>
        <w:t>。</w:t>
      </w:r>
    </w:p>
    <w:p w14:paraId="719A2E3A">
      <w:pPr>
        <w:widowControl/>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asciiTheme="minorEastAsia" w:hAnsiTheme="minorEastAsia" w:eastAsiaTheme="minorEastAsia"/>
          <w:sz w:val="24"/>
        </w:rPr>
        <w:t>.</w:t>
      </w:r>
      <w:r>
        <w:rPr>
          <w:rFonts w:hint="eastAsia" w:asciiTheme="minorEastAsia" w:hAnsiTheme="minorEastAsia" w:eastAsiaTheme="minorEastAsia"/>
          <w:sz w:val="24"/>
          <w:lang w:eastAsia="zh-CN"/>
        </w:rPr>
        <w:t>4</w:t>
      </w:r>
      <w:r>
        <w:rPr>
          <w:rFonts w:asciiTheme="minorEastAsia" w:hAnsiTheme="minorEastAsia" w:eastAsiaTheme="minorEastAsia"/>
          <w:sz w:val="24"/>
        </w:rPr>
        <w:t>供应商报价或者某些分项报价明显不合理或者低于成本价，有可能影响商品质量和不能诚信履约的，磋商小组有权在评标现场要求参与磋商的供应商在规定时间内出具相关证明材料予以解释说明，并提交相关证明材料。磋商小组有权根据《中华人民共和国反不正当竞争法》相关规定，对供应商出具相关证明材料不予认同，将其视为无效报价，其响应文件将被视为无效响应文件处理。</w:t>
      </w:r>
    </w:p>
    <w:p w14:paraId="6F5597DF">
      <w:pPr>
        <w:widowControl/>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本次磋商采用现场报价方式，通过资格审查的供应商在与磋商小组进行磋商后，按要求进行报价。（初始报价表放在</w:t>
      </w:r>
      <w:r>
        <w:rPr>
          <w:rFonts w:hint="eastAsia" w:asciiTheme="minorEastAsia" w:hAnsiTheme="minorEastAsia" w:eastAsiaTheme="minorEastAsia"/>
          <w:sz w:val="24"/>
        </w:rPr>
        <w:t>技术、服务性响应文件</w:t>
      </w:r>
      <w:r>
        <w:rPr>
          <w:rFonts w:asciiTheme="minorEastAsia" w:hAnsiTheme="minorEastAsia" w:eastAsiaTheme="minorEastAsia"/>
          <w:sz w:val="24"/>
        </w:rPr>
        <w:t>中，初始报价不属于现场报价范畴，仅供磋商小组成员磋商参考使用</w:t>
      </w:r>
      <w:r>
        <w:rPr>
          <w:rFonts w:hint="eastAsia" w:asciiTheme="minorEastAsia" w:hAnsiTheme="minorEastAsia" w:eastAsiaTheme="minorEastAsia"/>
          <w:sz w:val="24"/>
        </w:rPr>
        <w:t>。</w:t>
      </w:r>
      <w:r>
        <w:rPr>
          <w:rFonts w:asciiTheme="minorEastAsia" w:hAnsiTheme="minorEastAsia" w:eastAsiaTheme="minorEastAsia"/>
          <w:sz w:val="24"/>
        </w:rPr>
        <w:t>如磋商过程中，技术指标未发生实质性变化，现场报价不能高于初始报价</w:t>
      </w:r>
      <w:r>
        <w:rPr>
          <w:rFonts w:hint="eastAsia" w:asciiTheme="minorEastAsia" w:hAnsiTheme="minorEastAsia" w:eastAsiaTheme="minorEastAsia"/>
          <w:sz w:val="24"/>
        </w:rPr>
        <w:t>，且各供应商的每轮报价不得高于上轮报价，本次报价高于上次报价的，视为无效报价，响应文件按无效处理</w:t>
      </w:r>
      <w:r>
        <w:rPr>
          <w:rFonts w:asciiTheme="minorEastAsia" w:hAnsiTheme="minorEastAsia" w:eastAsiaTheme="minorEastAsia"/>
          <w:sz w:val="24"/>
        </w:rPr>
        <w:t>）</w:t>
      </w:r>
      <w:r>
        <w:rPr>
          <w:rFonts w:hint="eastAsia" w:asciiTheme="minorEastAsia" w:hAnsiTheme="minorEastAsia" w:eastAsiaTheme="minorEastAsia"/>
          <w:sz w:val="24"/>
        </w:rPr>
        <w:t>。</w:t>
      </w:r>
    </w:p>
    <w:p w14:paraId="6C1A531F">
      <w:pPr>
        <w:widowControl/>
        <w:wordWrap/>
        <w:spacing w:line="300" w:lineRule="auto"/>
        <w:jc w:val="left"/>
        <w:outlineLvl w:val="0"/>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asciiTheme="minorEastAsia" w:hAnsiTheme="minorEastAsia" w:eastAsiaTheme="minorEastAsia"/>
          <w:sz w:val="24"/>
        </w:rPr>
        <w:t>响应文件的递交</w:t>
      </w:r>
    </w:p>
    <w:p w14:paraId="50606918">
      <w:pPr>
        <w:widowControl/>
        <w:wordWrap/>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10</w:t>
      </w:r>
      <w:r>
        <w:rPr>
          <w:rFonts w:asciiTheme="minorEastAsia" w:hAnsiTheme="minorEastAsia" w:eastAsiaTheme="minorEastAsia"/>
          <w:sz w:val="24"/>
        </w:rPr>
        <w:t>.1</w:t>
      </w:r>
      <w:r>
        <w:rPr>
          <w:rFonts w:hint="eastAsia" w:asciiTheme="minorEastAsia" w:hAnsiTheme="minorEastAsia" w:eastAsiaTheme="minorEastAsia"/>
          <w:sz w:val="24"/>
        </w:rPr>
        <w:t>响应文件分资格性响应文件和技术、服务性响应文件和电子文档</w:t>
      </w:r>
      <w:r>
        <w:rPr>
          <w:rFonts w:asciiTheme="minorEastAsia" w:hAnsiTheme="minorEastAsia" w:eastAsiaTheme="minorEastAsia"/>
          <w:sz w:val="24"/>
        </w:rPr>
        <w:t>。</w:t>
      </w:r>
      <w:r>
        <w:rPr>
          <w:rFonts w:hint="eastAsia" w:asciiTheme="minorEastAsia" w:hAnsiTheme="minorEastAsia" w:eastAsiaTheme="minorEastAsia"/>
          <w:sz w:val="24"/>
        </w:rPr>
        <w:t>资格性响应文件和技术、服务性响应文件</w:t>
      </w:r>
      <w:r>
        <w:rPr>
          <w:rFonts w:asciiTheme="minorEastAsia" w:hAnsiTheme="minorEastAsia" w:eastAsiaTheme="minorEastAsia"/>
          <w:sz w:val="24"/>
        </w:rPr>
        <w:t>用于</w:t>
      </w:r>
      <w:r>
        <w:rPr>
          <w:rFonts w:hint="eastAsia" w:asciiTheme="minorEastAsia" w:hAnsiTheme="minorEastAsia" w:eastAsiaTheme="minorEastAsia"/>
          <w:sz w:val="24"/>
        </w:rPr>
        <w:t>进行资格性审查及</w:t>
      </w:r>
      <w:r>
        <w:rPr>
          <w:rFonts w:asciiTheme="minorEastAsia" w:hAnsiTheme="minorEastAsia" w:eastAsiaTheme="minorEastAsia"/>
          <w:sz w:val="24"/>
        </w:rPr>
        <w:t>供应商磋商。</w:t>
      </w:r>
    </w:p>
    <w:p w14:paraId="0735B653">
      <w:pPr>
        <w:tabs>
          <w:tab w:val="left" w:pos="7665"/>
        </w:tabs>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9</w:t>
      </w:r>
      <w:r>
        <w:rPr>
          <w:rFonts w:asciiTheme="minorEastAsia" w:hAnsiTheme="minorEastAsia" w:eastAsiaTheme="minorEastAsia"/>
          <w:sz w:val="24"/>
        </w:rPr>
        <w:t>.2供应商递交的</w:t>
      </w:r>
      <w:r>
        <w:rPr>
          <w:rFonts w:asciiTheme="minorEastAsia" w:hAnsiTheme="minorEastAsia" w:eastAsiaTheme="minorEastAsia"/>
          <w:b/>
          <w:sz w:val="24"/>
        </w:rPr>
        <w:t>响应文件为一式</w:t>
      </w:r>
      <w:r>
        <w:rPr>
          <w:rFonts w:hint="eastAsia" w:asciiTheme="minorEastAsia" w:hAnsiTheme="minorEastAsia" w:eastAsiaTheme="minorEastAsia"/>
          <w:b/>
          <w:sz w:val="24"/>
          <w:lang w:eastAsia="zh-CN"/>
        </w:rPr>
        <w:t>3</w:t>
      </w:r>
      <w:r>
        <w:rPr>
          <w:rFonts w:asciiTheme="minorEastAsia" w:hAnsiTheme="minorEastAsia" w:eastAsiaTheme="minorEastAsia"/>
          <w:b/>
          <w:sz w:val="24"/>
        </w:rPr>
        <w:t>份，其中正本1份，副本</w:t>
      </w:r>
      <w:r>
        <w:rPr>
          <w:rFonts w:hint="eastAsia" w:asciiTheme="minorEastAsia" w:hAnsiTheme="minorEastAsia" w:eastAsiaTheme="minorEastAsia"/>
          <w:b/>
          <w:sz w:val="24"/>
          <w:lang w:eastAsia="zh-CN"/>
        </w:rPr>
        <w:t>2</w:t>
      </w:r>
      <w:r>
        <w:rPr>
          <w:rFonts w:asciiTheme="minorEastAsia" w:hAnsiTheme="minorEastAsia" w:eastAsiaTheme="minorEastAsia"/>
          <w:b/>
          <w:sz w:val="24"/>
        </w:rPr>
        <w:t>份</w:t>
      </w:r>
      <w:r>
        <w:rPr>
          <w:rFonts w:hint="eastAsia" w:asciiTheme="minorEastAsia" w:hAnsiTheme="minorEastAsia" w:eastAsiaTheme="minorEastAsia"/>
          <w:b/>
          <w:sz w:val="24"/>
        </w:rPr>
        <w:t>和相应的电子文档1份</w:t>
      </w:r>
      <w:r>
        <w:rPr>
          <w:rFonts w:asciiTheme="minorEastAsia" w:hAnsiTheme="minorEastAsia" w:eastAsiaTheme="minorEastAsia"/>
          <w:b/>
          <w:sz w:val="24"/>
        </w:rPr>
        <w:t>。</w:t>
      </w:r>
      <w:r>
        <w:rPr>
          <w:rFonts w:asciiTheme="minorEastAsia" w:hAnsiTheme="minorEastAsia" w:eastAsiaTheme="minorEastAsia"/>
          <w:sz w:val="24"/>
        </w:rPr>
        <w:t>响应文件</w:t>
      </w:r>
      <w:r>
        <w:rPr>
          <w:rFonts w:hint="eastAsia" w:asciiTheme="minorEastAsia" w:hAnsiTheme="minorEastAsia" w:eastAsiaTheme="minorEastAsia"/>
          <w:sz w:val="24"/>
        </w:rPr>
        <w:t>正本</w:t>
      </w:r>
      <w:r>
        <w:rPr>
          <w:rFonts w:asciiTheme="minorEastAsia" w:hAnsiTheme="minorEastAsia" w:eastAsiaTheme="minorEastAsia"/>
          <w:sz w:val="24"/>
        </w:rPr>
        <w:t>应用不褪色的墨水中文书写或打印，</w:t>
      </w:r>
      <w:r>
        <w:rPr>
          <w:rFonts w:hint="eastAsia" w:asciiTheme="minorEastAsia" w:hAnsiTheme="minorEastAsia" w:eastAsiaTheme="minorEastAsia"/>
          <w:sz w:val="24"/>
        </w:rPr>
        <w:t>正本和副本</w:t>
      </w:r>
      <w:r>
        <w:rPr>
          <w:rFonts w:hint="eastAsia" w:asciiTheme="minorEastAsia" w:hAnsiTheme="minorEastAsia" w:eastAsiaTheme="minorEastAsia"/>
          <w:sz w:val="24"/>
          <w:lang w:eastAsia="zh-CN"/>
        </w:rPr>
        <w:t>应当</w:t>
      </w:r>
      <w:r>
        <w:rPr>
          <w:rFonts w:hint="eastAsia" w:asciiTheme="minorEastAsia" w:hAnsiTheme="minorEastAsia" w:eastAsiaTheme="minorEastAsia"/>
          <w:sz w:val="24"/>
        </w:rPr>
        <w:t>装订(胶装)成册并编码</w:t>
      </w:r>
      <w:r>
        <w:rPr>
          <w:rFonts w:hint="eastAsia" w:asciiTheme="minorEastAsia" w:hAnsiTheme="minorEastAsia" w:eastAsiaTheme="minorEastAsia"/>
          <w:sz w:val="24"/>
          <w:lang w:eastAsia="zh-CN"/>
        </w:rPr>
        <w:t>，</w:t>
      </w:r>
      <w:r>
        <w:rPr>
          <w:rFonts w:asciiTheme="minorEastAsia" w:hAnsiTheme="minorEastAsia" w:eastAsiaTheme="minorEastAsia"/>
          <w:sz w:val="24"/>
        </w:rPr>
        <w:t>并在响应文件封面标明项目名称、采购</w:t>
      </w:r>
      <w:r>
        <w:rPr>
          <w:rFonts w:hint="eastAsia" w:asciiTheme="minorEastAsia" w:hAnsiTheme="minorEastAsia" w:eastAsiaTheme="minorEastAsia"/>
          <w:sz w:val="24"/>
          <w:lang w:eastAsia="zh-CN"/>
        </w:rPr>
        <w:t>项目</w:t>
      </w:r>
      <w:r>
        <w:rPr>
          <w:rFonts w:asciiTheme="minorEastAsia" w:hAnsiTheme="minorEastAsia" w:eastAsiaTheme="minorEastAsia"/>
          <w:sz w:val="24"/>
        </w:rPr>
        <w:t>编号、供应商名称以及“正本”、“副本”字样</w:t>
      </w:r>
      <w:r>
        <w:rPr>
          <w:rFonts w:hint="eastAsia" w:asciiTheme="minorEastAsia" w:hAnsiTheme="minorEastAsia" w:eastAsiaTheme="minorEastAsia"/>
          <w:sz w:val="24"/>
        </w:rPr>
        <w:t>及分包号（如有分包）。</w:t>
      </w:r>
    </w:p>
    <w:p w14:paraId="349FDEBD">
      <w:pPr>
        <w:tabs>
          <w:tab w:val="left" w:pos="7665"/>
        </w:tabs>
        <w:spacing w:line="276" w:lineRule="auto"/>
        <w:rPr>
          <w:rFonts w:asciiTheme="minorEastAsia" w:hAnsiTheme="minorEastAsia" w:eastAsiaTheme="minorEastAsia"/>
          <w:sz w:val="24"/>
          <w:lang w:eastAsia="zh-CN"/>
        </w:rPr>
      </w:pPr>
      <w:r>
        <w:rPr>
          <w:rFonts w:hint="eastAsia" w:asciiTheme="minorEastAsia" w:hAnsiTheme="minorEastAsia" w:eastAsiaTheme="minorEastAsia"/>
          <w:sz w:val="24"/>
        </w:rPr>
        <w:t>电子文档采用光盘或U盘制作，电子文档应为PDF</w:t>
      </w:r>
      <w:r>
        <w:rPr>
          <w:rFonts w:hint="eastAsia" w:asciiTheme="minorEastAsia" w:hAnsiTheme="minorEastAsia" w:eastAsiaTheme="minorEastAsia"/>
          <w:sz w:val="24"/>
          <w:lang w:eastAsia="zh-CN"/>
        </w:rPr>
        <w:t>或Word</w:t>
      </w:r>
      <w:r>
        <w:rPr>
          <w:rFonts w:hint="eastAsia" w:asciiTheme="minorEastAsia" w:hAnsiTheme="minorEastAsia" w:eastAsiaTheme="minorEastAsia"/>
          <w:sz w:val="24"/>
        </w:rPr>
        <w:t>格式，并包含正本所有内容。</w:t>
      </w:r>
    </w:p>
    <w:p w14:paraId="16AEAD13">
      <w:pPr>
        <w:widowControl/>
        <w:wordWrap/>
        <w:spacing w:line="300" w:lineRule="auto"/>
        <w:ind w:firstLine="482" w:firstLineChars="200"/>
        <w:rPr>
          <w:rFonts w:hAnsi="宋体"/>
          <w:b/>
          <w:sz w:val="24"/>
          <w:lang w:eastAsia="zh-CN"/>
        </w:rPr>
      </w:pPr>
      <w:r>
        <w:rPr>
          <w:rFonts w:hAnsi="宋体"/>
          <w:b/>
          <w:sz w:val="24"/>
          <w:lang w:eastAsia="zh-CN"/>
        </w:rPr>
        <w:t>响应文件分资格性响应文件和技术、服务性响应文件</w:t>
      </w:r>
      <w:r>
        <w:rPr>
          <w:rFonts w:hint="eastAsia" w:hAnsi="宋体"/>
          <w:b/>
          <w:sz w:val="24"/>
          <w:lang w:eastAsia="zh-CN"/>
        </w:rPr>
        <w:t>和</w:t>
      </w:r>
      <w:r>
        <w:rPr>
          <w:rFonts w:hint="eastAsia" w:hAnsi="宋体"/>
          <w:b/>
          <w:sz w:val="24"/>
        </w:rPr>
        <w:t>电子文档</w:t>
      </w:r>
      <w:r>
        <w:rPr>
          <w:rFonts w:hint="eastAsia" w:hAnsi="宋体"/>
          <w:b/>
          <w:sz w:val="24"/>
          <w:lang w:eastAsia="zh-CN"/>
        </w:rPr>
        <w:t>三</w:t>
      </w:r>
      <w:r>
        <w:rPr>
          <w:rFonts w:hAnsi="宋体"/>
          <w:b/>
          <w:sz w:val="24"/>
          <w:lang w:eastAsia="zh-CN"/>
        </w:rPr>
        <w:t>部分，</w:t>
      </w:r>
      <w:r>
        <w:rPr>
          <w:rFonts w:hint="eastAsia" w:hAnsi="宋体"/>
          <w:b/>
          <w:sz w:val="24"/>
          <w:lang w:eastAsia="zh-CN"/>
        </w:rPr>
        <w:t>分别</w:t>
      </w:r>
      <w:r>
        <w:rPr>
          <w:rFonts w:hAnsi="宋体"/>
          <w:b/>
          <w:sz w:val="24"/>
          <w:lang w:eastAsia="zh-CN"/>
        </w:rPr>
        <w:t>装订密封</w:t>
      </w:r>
      <w:r>
        <w:rPr>
          <w:rFonts w:hint="eastAsia" w:hAnsi="宋体"/>
          <w:b/>
          <w:sz w:val="24"/>
          <w:lang w:eastAsia="zh-CN"/>
        </w:rPr>
        <w:t>。</w:t>
      </w:r>
    </w:p>
    <w:p w14:paraId="6910DD3F">
      <w:pPr>
        <w:widowControl/>
        <w:wordWrap/>
        <w:spacing w:line="300" w:lineRule="auto"/>
        <w:rPr>
          <w:rFonts w:hAnsi="宋体"/>
          <w:sz w:val="24"/>
          <w:lang w:eastAsia="zh-CN"/>
        </w:rPr>
      </w:pPr>
      <w:r>
        <w:rPr>
          <w:rFonts w:hint="eastAsia" w:hAnsi="宋体"/>
          <w:sz w:val="24"/>
          <w:lang w:eastAsia="zh-CN"/>
        </w:rPr>
        <w:t>未密封的响应文件，采购人、采购代理机构将拒收或者在时间允许的范围内，要求修改完善后接收。</w:t>
      </w:r>
    </w:p>
    <w:p w14:paraId="7CEF3031">
      <w:pPr>
        <w:widowControl/>
        <w:wordWrap/>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10</w:t>
      </w:r>
      <w:r>
        <w:rPr>
          <w:rFonts w:asciiTheme="minorEastAsia" w:hAnsiTheme="minorEastAsia" w:eastAsiaTheme="minorEastAsia"/>
          <w:sz w:val="24"/>
        </w:rPr>
        <w:t>.3响应文件应由供应商法定代表人或经正式授权的供应商代表按磋商文件的要求签字或加盖公章。</w:t>
      </w:r>
    </w:p>
    <w:p w14:paraId="50E6C837">
      <w:pPr>
        <w:widowControl/>
        <w:wordWrap/>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10</w:t>
      </w:r>
      <w:r>
        <w:rPr>
          <w:rFonts w:asciiTheme="minorEastAsia" w:hAnsiTheme="minorEastAsia" w:eastAsiaTheme="minorEastAsia"/>
          <w:sz w:val="24"/>
        </w:rPr>
        <w:t>.4在递交响应文件截止时间后送达的任何响应文件将被拒绝。</w:t>
      </w:r>
    </w:p>
    <w:p w14:paraId="370F8B48">
      <w:pPr>
        <w:widowControl/>
        <w:wordWrap/>
        <w:spacing w:line="300" w:lineRule="auto"/>
        <w:ind w:firstLine="480" w:firstLineChars="200"/>
        <w:rPr>
          <w:rFonts w:asciiTheme="minorEastAsia" w:hAnsiTheme="minorEastAsia" w:eastAsiaTheme="minorEastAsia"/>
          <w:sz w:val="24"/>
        </w:rPr>
      </w:pPr>
      <w:r>
        <w:rPr>
          <w:rFonts w:hint="eastAsia" w:hAnsi="宋体"/>
          <w:sz w:val="24"/>
          <w:lang w:eastAsia="zh-CN"/>
        </w:rPr>
        <w:t>10.5 响应文件统一用A4幅面纸印制，优先采用正反面印制，若响应文件超过200张的，建议分册装订。</w:t>
      </w:r>
    </w:p>
    <w:p w14:paraId="05A037A7">
      <w:pPr>
        <w:snapToGrid w:val="0"/>
        <w:spacing w:line="300" w:lineRule="auto"/>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11.</w:t>
      </w:r>
      <w:r>
        <w:rPr>
          <w:rFonts w:asciiTheme="minorEastAsia" w:hAnsiTheme="minorEastAsia" w:eastAsiaTheme="minorEastAsia"/>
          <w:sz w:val="24"/>
          <w:lang w:eastAsia="zh-CN"/>
        </w:rPr>
        <w:t>磋商</w:t>
      </w:r>
      <w:r>
        <w:rPr>
          <w:rFonts w:hint="eastAsia" w:asciiTheme="minorEastAsia" w:hAnsiTheme="minorEastAsia" w:eastAsiaTheme="minorEastAsia"/>
          <w:sz w:val="24"/>
          <w:lang w:eastAsia="zh-CN"/>
        </w:rPr>
        <w:t>响应文件有效期</w:t>
      </w:r>
      <w:r>
        <w:rPr>
          <w:rFonts w:hint="eastAsia" w:asciiTheme="minorEastAsia" w:hAnsiTheme="minorEastAsia" w:eastAsiaTheme="minorEastAsia"/>
          <w:b/>
          <w:sz w:val="24"/>
        </w:rPr>
        <w:t>（实质性要求）</w:t>
      </w:r>
    </w:p>
    <w:p w14:paraId="673EB4A0">
      <w:pPr>
        <w:snapToGrid w:val="0"/>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19C26E71">
      <w:pPr>
        <w:wordWrap/>
        <w:spacing w:line="300" w:lineRule="auto"/>
        <w:outlineLvl w:val="0"/>
        <w:rPr>
          <w:rFonts w:asciiTheme="minorEastAsia" w:hAnsiTheme="minorEastAsia" w:eastAsiaTheme="minorEastAsia"/>
          <w:sz w:val="24"/>
        </w:rPr>
      </w:pPr>
      <w:r>
        <w:rPr>
          <w:rFonts w:hint="eastAsia" w:asciiTheme="minorEastAsia" w:hAnsiTheme="minorEastAsia" w:eastAsiaTheme="minorEastAsia"/>
          <w:sz w:val="24"/>
          <w:lang w:val="en-US" w:eastAsia="zh-CN"/>
        </w:rPr>
        <w:t>12.</w:t>
      </w:r>
      <w:r>
        <w:rPr>
          <w:rFonts w:asciiTheme="minorEastAsia" w:hAnsiTheme="minorEastAsia" w:eastAsiaTheme="minorEastAsia"/>
          <w:sz w:val="24"/>
        </w:rPr>
        <w:t>确定成交候选人</w:t>
      </w:r>
    </w:p>
    <w:p w14:paraId="1C5104C8">
      <w:pPr>
        <w:snapToGrid w:val="0"/>
        <w:spacing w:line="300" w:lineRule="auto"/>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lang w:val="en-US" w:eastAsia="zh-CN"/>
        </w:rPr>
        <w:t>工作组</w:t>
      </w:r>
      <w:r>
        <w:rPr>
          <w:rFonts w:hint="eastAsia" w:asciiTheme="minorEastAsia" w:hAnsiTheme="minorEastAsia" w:eastAsiaTheme="minorEastAsia"/>
          <w:sz w:val="24"/>
          <w:lang w:eastAsia="zh-CN"/>
        </w:rPr>
        <w:t>应当在评审结束后2个工作日内将评审报告送采购人确认。</w:t>
      </w:r>
    </w:p>
    <w:p w14:paraId="00C6A460">
      <w:pPr>
        <w:snapToGrid w:val="0"/>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12.2采购人应当在收到评审报告后5个工作日内，从评审报告提出的成交候选人中，按照排序从高到低的原则确定成交供应商。</w:t>
      </w:r>
    </w:p>
    <w:p w14:paraId="7374D5B5">
      <w:pPr>
        <w:wordWrap/>
        <w:spacing w:line="30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lang w:eastAsia="zh-CN"/>
        </w:rPr>
        <w:t>12</w:t>
      </w:r>
      <w:r>
        <w:rPr>
          <w:rFonts w:asciiTheme="minorEastAsia" w:hAnsiTheme="minorEastAsia" w:eastAsiaTheme="minorEastAsia"/>
          <w:sz w:val="24"/>
        </w:rPr>
        <w:t>.</w:t>
      </w:r>
      <w:r>
        <w:rPr>
          <w:rFonts w:hint="eastAsia" w:asciiTheme="minorEastAsia" w:hAnsiTheme="minorEastAsia" w:eastAsiaTheme="minorEastAsia"/>
          <w:sz w:val="24"/>
          <w:lang w:eastAsia="zh-CN"/>
        </w:rPr>
        <w:t>3</w:t>
      </w:r>
      <w:r>
        <w:rPr>
          <w:rFonts w:asciiTheme="minorEastAsia" w:hAnsiTheme="minorEastAsia" w:eastAsiaTheme="minorEastAsia"/>
          <w:sz w:val="24"/>
        </w:rPr>
        <w:t>采购人确定成交供应商过程中，发现成交候选供应商有下列情形之一的，将不予确定其为成交供应商：</w:t>
      </w:r>
    </w:p>
    <w:p w14:paraId="7EF0B6F8">
      <w:pPr>
        <w:wordWrap/>
        <w:spacing w:line="30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（一）成交候选供应商存在违法、违纪行为的；</w:t>
      </w:r>
    </w:p>
    <w:p w14:paraId="22CB2ABF">
      <w:pPr>
        <w:wordWrap/>
        <w:spacing w:line="300" w:lineRule="auto"/>
        <w:ind w:firstLine="360" w:firstLineChars="150"/>
        <w:rPr>
          <w:rFonts w:asciiTheme="minorEastAsia" w:hAnsiTheme="minorEastAsia" w:eastAsiaTheme="minorEastAsia"/>
          <w:sz w:val="24"/>
        </w:rPr>
      </w:pPr>
      <w:r>
        <w:rPr>
          <w:rFonts w:asciiTheme="minorEastAsia" w:hAnsiTheme="minorEastAsia" w:eastAsiaTheme="minorEastAsia"/>
          <w:sz w:val="24"/>
        </w:rPr>
        <w:t>（二）成交候选供应商因不可抗力、社会经济形势发生重大变化、破产、重组等原因确定无法履行政府采购合同的；</w:t>
      </w:r>
    </w:p>
    <w:p w14:paraId="6A5D0CF5">
      <w:pPr>
        <w:wordWrap/>
        <w:spacing w:line="30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（三）成交候选供应商书面自愿放弃成交，且无其他非法目的的。</w:t>
      </w:r>
    </w:p>
    <w:p w14:paraId="14009CFC">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成交候选供应商有本款情形之一的，采购人将确定后一位成交候选供应商为成交供应商。依次类推。无法确定成交供应商的，采购人将重新组织采购。</w:t>
      </w:r>
    </w:p>
    <w:p w14:paraId="3F560BE1">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成交候选供应商以本款第（三）项放弃成交的，应当说明理由。</w:t>
      </w:r>
    </w:p>
    <w:p w14:paraId="2941EE24">
      <w:pPr>
        <w:widowControl/>
        <w:wordWrap/>
        <w:spacing w:line="300" w:lineRule="auto"/>
        <w:rPr>
          <w:rFonts w:asciiTheme="minorEastAsia" w:hAnsiTheme="minorEastAsia" w:eastAsiaTheme="minorEastAsia"/>
          <w:sz w:val="24"/>
        </w:rPr>
      </w:pPr>
      <w:r>
        <w:rPr>
          <w:rFonts w:hint="eastAsia" w:asciiTheme="minorEastAsia" w:hAnsiTheme="minorEastAsia" w:eastAsiaTheme="minorEastAsia"/>
          <w:sz w:val="24"/>
          <w:lang w:val="en-US" w:eastAsia="zh-CN"/>
        </w:rPr>
        <w:t>13.</w:t>
      </w:r>
      <w:r>
        <w:rPr>
          <w:rFonts w:asciiTheme="minorEastAsia" w:hAnsiTheme="minorEastAsia" w:eastAsiaTheme="minorEastAsia"/>
          <w:sz w:val="24"/>
        </w:rPr>
        <w:t>成交通知书</w:t>
      </w:r>
    </w:p>
    <w:p w14:paraId="591EEA96">
      <w:pPr>
        <w:widowControl/>
        <w:wordWrap/>
        <w:spacing w:line="300" w:lineRule="auto"/>
        <w:ind w:firstLine="480"/>
        <w:jc w:val="left"/>
        <w:rPr>
          <w:rFonts w:asciiTheme="minorEastAsia" w:hAnsiTheme="minorEastAsia" w:eastAsiaTheme="minorEastAsia"/>
          <w:sz w:val="24"/>
          <w:lang w:eastAsia="zh-CN"/>
        </w:rPr>
      </w:pPr>
      <w:r>
        <w:rPr>
          <w:rFonts w:asciiTheme="minorEastAsia" w:hAnsiTheme="minorEastAsia" w:eastAsiaTheme="minorEastAsia"/>
          <w:sz w:val="24"/>
          <w:lang w:eastAsia="zh-CN"/>
        </w:rPr>
        <w:t>采购</w:t>
      </w:r>
      <w:r>
        <w:rPr>
          <w:rFonts w:hint="eastAsia" w:asciiTheme="minorEastAsia" w:hAnsiTheme="minorEastAsia" w:eastAsiaTheme="minorEastAsia"/>
          <w:sz w:val="24"/>
          <w:lang w:val="en-US" w:eastAsia="zh-CN"/>
        </w:rPr>
        <w:t>工作组</w:t>
      </w:r>
      <w:r>
        <w:rPr>
          <w:rFonts w:asciiTheme="minorEastAsia" w:hAnsiTheme="minorEastAsia" w:eastAsiaTheme="minorEastAsia"/>
          <w:sz w:val="24"/>
          <w:lang w:eastAsia="zh-CN"/>
        </w:rPr>
        <w:t>在成交供应商确定后，在</w:t>
      </w:r>
      <w:r>
        <w:rPr>
          <w:rFonts w:hint="eastAsia" w:hAnsi="宋体"/>
          <w:sz w:val="24"/>
          <w:u w:val="single"/>
          <w:lang w:val="en-US" w:eastAsia="zh-CN"/>
        </w:rPr>
        <w:t>人文社会发展学院院</w:t>
      </w:r>
      <w:r>
        <w:rPr>
          <w:rFonts w:hint="eastAsia" w:hAnsi="宋体"/>
          <w:sz w:val="24"/>
          <w:u w:val="single"/>
          <w:lang w:eastAsia="zh-CN"/>
        </w:rPr>
        <w:t>网</w:t>
      </w:r>
      <w:r>
        <w:rPr>
          <w:rFonts w:hint="eastAsia" w:asciiTheme="minorEastAsia" w:hAnsiTheme="minorEastAsia" w:eastAsiaTheme="minorEastAsia"/>
          <w:sz w:val="24"/>
          <w:lang w:eastAsia="zh-CN"/>
        </w:rPr>
        <w:t>发布</w:t>
      </w:r>
      <w:r>
        <w:rPr>
          <w:rFonts w:asciiTheme="minorEastAsia" w:hAnsiTheme="minorEastAsia" w:eastAsiaTheme="minorEastAsia"/>
          <w:sz w:val="24"/>
          <w:lang w:eastAsia="zh-CN"/>
        </w:rPr>
        <w:t>成交结果公告，</w:t>
      </w:r>
      <w:r>
        <w:rPr>
          <w:rFonts w:hint="eastAsia" w:asciiTheme="minorEastAsia" w:hAnsiTheme="minorEastAsia" w:eastAsiaTheme="minorEastAsia"/>
          <w:sz w:val="24"/>
          <w:lang w:eastAsia="zh-CN"/>
        </w:rPr>
        <w:t>同时</w:t>
      </w:r>
      <w:r>
        <w:rPr>
          <w:rFonts w:asciiTheme="minorEastAsia" w:hAnsiTheme="minorEastAsia" w:eastAsiaTheme="minorEastAsia"/>
          <w:sz w:val="24"/>
          <w:lang w:eastAsia="zh-CN"/>
        </w:rPr>
        <w:t>向成交供应商发出成交通知书。</w:t>
      </w:r>
    </w:p>
    <w:p w14:paraId="21035A83">
      <w:pPr>
        <w:widowControl/>
        <w:wordWrap/>
        <w:spacing w:line="300" w:lineRule="auto"/>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14.</w:t>
      </w:r>
      <w:r>
        <w:rPr>
          <w:rFonts w:asciiTheme="minorEastAsia" w:hAnsiTheme="minorEastAsia" w:eastAsiaTheme="minorEastAsia"/>
          <w:sz w:val="24"/>
        </w:rPr>
        <w:t>签订合同</w:t>
      </w:r>
    </w:p>
    <w:p w14:paraId="52510B0A">
      <w:pPr>
        <w:widowControl/>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14</w:t>
      </w:r>
      <w:r>
        <w:rPr>
          <w:rFonts w:asciiTheme="minorEastAsia" w:hAnsiTheme="minorEastAsia" w:eastAsiaTheme="minorEastAsia"/>
          <w:sz w:val="24"/>
        </w:rPr>
        <w:t>.1成交供应商应在</w:t>
      </w:r>
      <w:r>
        <w:rPr>
          <w:rFonts w:hint="eastAsia" w:asciiTheme="minorEastAsia" w:hAnsiTheme="minorEastAsia" w:eastAsiaTheme="minorEastAsia"/>
          <w:sz w:val="24"/>
        </w:rPr>
        <w:t>成交通知书发出之日起</w:t>
      </w:r>
      <w:r>
        <w:rPr>
          <w:rFonts w:hint="eastAsia" w:asciiTheme="minorEastAsia" w:hAnsiTheme="minorEastAsia" w:eastAsiaTheme="minorEastAsia"/>
          <w:sz w:val="24"/>
          <w:lang w:eastAsia="zh-CN"/>
        </w:rPr>
        <w:t>30</w:t>
      </w:r>
      <w:r>
        <w:rPr>
          <w:rFonts w:asciiTheme="minorEastAsia" w:hAnsiTheme="minorEastAsia" w:eastAsiaTheme="minorEastAsia"/>
          <w:sz w:val="24"/>
        </w:rPr>
        <w:t>日内，按照磋商文件、响应文件以及磋商过程中确定的事项与采购人签订采购合同。</w:t>
      </w:r>
    </w:p>
    <w:p w14:paraId="1DA68308">
      <w:pPr>
        <w:widowControl/>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14</w:t>
      </w:r>
      <w:r>
        <w:rPr>
          <w:rFonts w:asciiTheme="minorEastAsia" w:hAnsiTheme="minorEastAsia" w:eastAsiaTheme="minorEastAsia"/>
          <w:sz w:val="24"/>
        </w:rPr>
        <w:t>.2磋商文件、供应商提交的响应文件、磋商中的最终报价、供应商承诺书、成交通知书等均成为有法律约束力的合同的组成内容。</w:t>
      </w:r>
    </w:p>
    <w:p w14:paraId="01FD7282">
      <w:pPr>
        <w:widowControl/>
        <w:wordWrap/>
        <w:spacing w:line="300" w:lineRule="auto"/>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lang w:eastAsia="zh-CN"/>
        </w:rPr>
        <w:t>询问、质疑、投诉的接收和处理严格按照《中华人民共和国政府采购法》、《中华人民共和国政府采购法实施条例》、《财政部关于加强政府采购供应商投诉受理审查工作的通知》和《政府采购质疑和投诉办法》（财政部令第 94 号）等的相关规定办理.</w:t>
      </w:r>
    </w:p>
    <w:p w14:paraId="76A5F8DA">
      <w:pPr>
        <w:pStyle w:val="3"/>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询问：根据委托代理协议约定，供应商询问由采购</w:t>
      </w:r>
      <w:r>
        <w:rPr>
          <w:rFonts w:hint="eastAsia" w:asciiTheme="minorEastAsia" w:hAnsiTheme="minorEastAsia" w:eastAsiaTheme="minorEastAsia"/>
          <w:sz w:val="24"/>
          <w:lang w:val="en-US" w:eastAsia="zh-CN"/>
        </w:rPr>
        <w:t>工作组</w:t>
      </w:r>
      <w:r>
        <w:rPr>
          <w:rFonts w:hint="eastAsia" w:asciiTheme="minorEastAsia" w:hAnsiTheme="minorEastAsia" w:eastAsiaTheme="minorEastAsia"/>
          <w:sz w:val="24"/>
          <w:lang w:eastAsia="zh-CN"/>
        </w:rPr>
        <w:t>负责统一答复。</w:t>
      </w:r>
    </w:p>
    <w:p w14:paraId="0FAC2AD6">
      <w:pPr>
        <w:pStyle w:val="3"/>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质疑：根据委托代理协议约定，供应商质疑由采购</w:t>
      </w:r>
      <w:r>
        <w:rPr>
          <w:rFonts w:hint="eastAsia" w:asciiTheme="minorEastAsia" w:hAnsiTheme="minorEastAsia" w:eastAsiaTheme="minorEastAsia"/>
          <w:sz w:val="24"/>
          <w:lang w:val="en-US" w:eastAsia="zh-CN"/>
        </w:rPr>
        <w:t>工作组</w:t>
      </w:r>
      <w:r>
        <w:rPr>
          <w:rFonts w:hint="eastAsia" w:asciiTheme="minorEastAsia" w:hAnsiTheme="minorEastAsia" w:eastAsiaTheme="minorEastAsia"/>
          <w:sz w:val="24"/>
          <w:lang w:eastAsia="zh-CN"/>
        </w:rPr>
        <w:t>负责统一接收、答复。</w:t>
      </w:r>
    </w:p>
    <w:p w14:paraId="14091D08">
      <w:pPr>
        <w:pStyle w:val="3"/>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质疑提出时间：1.对采购文件内容的质疑：在获取采购文件之日起七个工作日内。2.对采购过程质疑时间：为各采购程序环节结束之日起七个工作日内。3.对采购结果提出质疑时间：为成交结果公告期限届满之日起七个工作日内。</w:t>
      </w:r>
    </w:p>
    <w:p w14:paraId="119B5E1A">
      <w:pPr>
        <w:pStyle w:val="3"/>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注：1.潜在供应商已依法获取其可质疑的采购文件的，可以对该文件提出质疑。</w:t>
      </w:r>
    </w:p>
    <w:p w14:paraId="17A50258">
      <w:pPr>
        <w:pStyle w:val="3"/>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2.根据《中华人民共和国政府采购法》等规定，供应商质疑不得超出采购文件、采购过程、采购结果的范围, 供应商针对同一采购程序环节的质疑应在法定质疑期内一次性提出。</w:t>
      </w:r>
    </w:p>
    <w:p w14:paraId="7BF1D29A">
      <w:pPr>
        <w:pStyle w:val="3"/>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3.质疑函相关格式请自行在中国政府采购网下载相应范本进行填写。</w:t>
      </w:r>
    </w:p>
    <w:p w14:paraId="79EE8272">
      <w:pPr>
        <w:pStyle w:val="3"/>
        <w:rPr>
          <w:rFonts w:asciiTheme="minorEastAsia" w:hAnsiTheme="minorEastAsia" w:eastAsiaTheme="minorEastAsia"/>
          <w:sz w:val="24"/>
        </w:rPr>
      </w:pPr>
    </w:p>
    <w:p w14:paraId="695CBA58">
      <w:pPr>
        <w:widowControl/>
        <w:numPr>
          <w:ilvl w:val="0"/>
          <w:numId w:val="0"/>
        </w:numPr>
        <w:wordWrap/>
        <w:spacing w:line="300" w:lineRule="auto"/>
        <w:ind w:left="0" w:leftChars="0" w:right="0" w:rightChars="0" w:firstLine="0" w:firstLineChars="0"/>
        <w:jc w:val="center"/>
        <w:rPr>
          <w:rFonts w:asciiTheme="minorEastAsia" w:hAnsiTheme="minorEastAsia" w:eastAsiaTheme="minorEastAsia"/>
          <w:b/>
          <w:sz w:val="24"/>
          <w:lang w:eastAsia="zh-CN"/>
        </w:rPr>
      </w:pPr>
      <w:r>
        <w:rPr>
          <w:rFonts w:asciiTheme="minorEastAsia" w:hAnsiTheme="minorEastAsia" w:eastAsiaTheme="minorEastAsia"/>
          <w:sz w:val="24"/>
        </w:rPr>
        <w:br w:type="page"/>
      </w:r>
      <w:r>
        <w:rPr>
          <w:rFonts w:hint="eastAsia" w:asciiTheme="minorEastAsia" w:hAnsiTheme="minorEastAsia" w:eastAsiaTheme="minorEastAsia"/>
          <w:b/>
          <w:sz w:val="24"/>
          <w:lang w:val="en-US" w:eastAsia="zh-CN"/>
        </w:rPr>
        <w:t xml:space="preserve">第二章  </w:t>
      </w:r>
      <w:r>
        <w:rPr>
          <w:rFonts w:asciiTheme="minorEastAsia" w:hAnsiTheme="minorEastAsia" w:eastAsiaTheme="minorEastAsia"/>
          <w:b/>
          <w:sz w:val="24"/>
        </w:rPr>
        <w:t>供应商资格证明文件</w:t>
      </w:r>
    </w:p>
    <w:p w14:paraId="4F462301">
      <w:pPr>
        <w:widowControl/>
        <w:wordWrap/>
        <w:spacing w:line="300" w:lineRule="auto"/>
        <w:rPr>
          <w:rFonts w:asciiTheme="minorEastAsia" w:hAnsiTheme="minorEastAsia" w:eastAsiaTheme="minorEastAsia"/>
          <w:b/>
          <w:sz w:val="24"/>
        </w:rPr>
      </w:pPr>
    </w:p>
    <w:p w14:paraId="466A64D1">
      <w:pPr>
        <w:widowControl/>
        <w:wordWrap/>
        <w:spacing w:line="300" w:lineRule="auto"/>
        <w:ind w:left="0" w:leftChars="0" w:right="0" w:rightChars="0" w:firstLine="0" w:firstLineChars="0"/>
        <w:jc w:val="center"/>
        <w:rPr>
          <w:rFonts w:hint="eastAsia" w:asciiTheme="minorEastAsia" w:hAnsiTheme="minorEastAsia" w:eastAsiaTheme="minorEastAsia"/>
          <w:b/>
          <w:sz w:val="24"/>
          <w:lang w:val="en-US" w:eastAsia="zh-CN"/>
        </w:rPr>
      </w:pPr>
      <w:r>
        <w:rPr>
          <w:rFonts w:asciiTheme="minorEastAsia" w:hAnsiTheme="minorEastAsia" w:eastAsiaTheme="minorEastAsia"/>
          <w:b/>
          <w:sz w:val="24"/>
        </w:rPr>
        <w:t>供应商应提交的资格证明材料</w:t>
      </w:r>
      <w:r>
        <w:rPr>
          <w:rFonts w:hint="eastAsia" w:asciiTheme="minorEastAsia" w:hAnsiTheme="minorEastAsia" w:eastAsiaTheme="minorEastAsia"/>
          <w:b/>
          <w:sz w:val="24"/>
          <w:lang w:val="en-US" w:eastAsia="zh-CN"/>
        </w:rPr>
        <w:t>表</w:t>
      </w:r>
    </w:p>
    <w:tbl>
      <w:tblPr>
        <w:tblStyle w:val="5"/>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1901"/>
        <w:gridCol w:w="5663"/>
      </w:tblGrid>
      <w:tr w14:paraId="2DB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826" w:type="dxa"/>
            <w:tcMar>
              <w:left w:w="0" w:type="dxa"/>
              <w:right w:w="0" w:type="dxa"/>
            </w:tcMar>
            <w:vAlign w:val="center"/>
          </w:tcPr>
          <w:p w14:paraId="46D2E325">
            <w:pPr>
              <w:widowControl/>
              <w:wordWrap/>
              <w:spacing w:line="240" w:lineRule="auto"/>
              <w:ind w:left="0" w:leftChars="0" w:right="0" w:righ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901" w:type="dxa"/>
            <w:tcMar>
              <w:left w:w="0" w:type="dxa"/>
              <w:right w:w="0" w:type="dxa"/>
            </w:tcMar>
            <w:vAlign w:val="center"/>
          </w:tcPr>
          <w:p w14:paraId="66CFEE77">
            <w:pPr>
              <w:widowControl/>
              <w:wordWrap/>
              <w:spacing w:line="240" w:lineRule="auto"/>
              <w:ind w:left="0" w:leftChars="0" w:right="0" w:righ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     目</w:t>
            </w:r>
          </w:p>
        </w:tc>
        <w:tc>
          <w:tcPr>
            <w:tcW w:w="5663" w:type="dxa"/>
            <w:tcMar>
              <w:left w:w="0" w:type="dxa"/>
              <w:right w:w="0" w:type="dxa"/>
            </w:tcMar>
            <w:vAlign w:val="center"/>
          </w:tcPr>
          <w:p w14:paraId="5BC750AA">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合格条件</w:t>
            </w:r>
          </w:p>
        </w:tc>
      </w:tr>
      <w:tr w14:paraId="778C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26" w:type="dxa"/>
            <w:tcMar>
              <w:left w:w="0" w:type="dxa"/>
              <w:right w:w="0" w:type="dxa"/>
            </w:tcMar>
            <w:vAlign w:val="center"/>
          </w:tcPr>
          <w:p w14:paraId="467CC246">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01" w:type="dxa"/>
            <w:tcMar>
              <w:left w:w="0" w:type="dxa"/>
              <w:right w:w="0" w:type="dxa"/>
            </w:tcMar>
            <w:vAlign w:val="center"/>
          </w:tcPr>
          <w:p w14:paraId="4FF39452">
            <w:pPr>
              <w:widowControl/>
              <w:wordWrap/>
              <w:spacing w:line="240" w:lineRule="auto"/>
              <w:ind w:left="100" w:leftChars="5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满足《中华人民共和国政府采购法》第二十二条规定的条件；</w:t>
            </w:r>
          </w:p>
        </w:tc>
        <w:tc>
          <w:tcPr>
            <w:tcW w:w="5663" w:type="dxa"/>
            <w:tcMar>
              <w:left w:w="0" w:type="dxa"/>
              <w:right w:w="0" w:type="dxa"/>
            </w:tcMar>
            <w:vAlign w:val="center"/>
          </w:tcPr>
          <w:p w14:paraId="66E3B633">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B779CAB">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2.具备良好商业信誉的证明材料（</w:t>
            </w:r>
            <w:r>
              <w:rPr>
                <w:rFonts w:hint="eastAsia" w:asciiTheme="minorEastAsia" w:hAnsiTheme="minorEastAsia" w:eastAsiaTheme="minorEastAsia" w:cstheme="minorEastAsia"/>
                <w:sz w:val="21"/>
                <w:szCs w:val="21"/>
                <w:lang w:eastAsia="zh-CN"/>
              </w:rPr>
              <w:t>按照磋商文件格式附件1－2提供承诺函</w:t>
            </w:r>
            <w:r>
              <w:rPr>
                <w:rFonts w:hint="eastAsia" w:asciiTheme="minorEastAsia" w:hAnsiTheme="minorEastAsia" w:eastAsiaTheme="minorEastAsia" w:cstheme="minorEastAsia"/>
                <w:sz w:val="21"/>
                <w:szCs w:val="21"/>
              </w:rPr>
              <w:t>）；</w:t>
            </w:r>
          </w:p>
          <w:p w14:paraId="23C97044">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3.具备健全的财务会计制度的证明材料。｛注：①可提供20</w:t>
            </w:r>
            <w:r>
              <w:rPr>
                <w:rFonts w:hint="eastAsia" w:asciiTheme="minorEastAsia" w:hAnsiTheme="minorEastAsia" w:eastAsiaTheme="minorEastAsia" w:cstheme="minorEastAsia"/>
                <w:sz w:val="21"/>
                <w:szCs w:val="21"/>
                <w:lang w:eastAsia="zh-CN"/>
              </w:rPr>
              <w:t>21</w:t>
            </w:r>
            <w:r>
              <w:rPr>
                <w:rFonts w:hint="eastAsia" w:asciiTheme="minorEastAsia" w:hAnsiTheme="minorEastAsia" w:eastAsiaTheme="minorEastAsia" w:cstheme="minorEastAsia"/>
                <w:sz w:val="21"/>
                <w:szCs w:val="21"/>
              </w:rPr>
              <w:t>或20</w:t>
            </w:r>
            <w:r>
              <w:rPr>
                <w:rFonts w:hint="eastAsia" w:asciiTheme="minorEastAsia" w:hAnsiTheme="minorEastAsia" w:eastAsiaTheme="minorEastAsia" w:cstheme="minorEastAsia"/>
                <w:sz w:val="21"/>
                <w:szCs w:val="21"/>
                <w:lang w:eastAsia="zh-CN"/>
              </w:rPr>
              <w:t>22</w:t>
            </w:r>
            <w:r>
              <w:rPr>
                <w:rFonts w:hint="eastAsia" w:asciiTheme="minorEastAsia" w:hAnsiTheme="minorEastAsia" w:eastAsiaTheme="minorEastAsia" w:cstheme="minorEastAsia"/>
                <w:sz w:val="21"/>
                <w:szCs w:val="21"/>
              </w:rPr>
              <w:t>年度经审计的财务报告复印件（包含审计报告和审计报告中所涉及的财务报表和报表附注），②也可提供供应商内部的20</w:t>
            </w:r>
            <w:r>
              <w:rPr>
                <w:rFonts w:hint="eastAsia" w:asciiTheme="minorEastAsia" w:hAnsiTheme="minorEastAsia" w:eastAsiaTheme="minorEastAsia" w:cstheme="minorEastAsia"/>
                <w:sz w:val="21"/>
                <w:szCs w:val="21"/>
                <w:lang w:eastAsia="zh-CN"/>
              </w:rPr>
              <w:t>21</w:t>
            </w:r>
            <w:r>
              <w:rPr>
                <w:rFonts w:hint="eastAsia" w:asciiTheme="minorEastAsia" w:hAnsiTheme="minorEastAsia" w:eastAsiaTheme="minorEastAsia" w:cstheme="minorEastAsia"/>
                <w:sz w:val="21"/>
                <w:szCs w:val="21"/>
              </w:rPr>
              <w:t>或20</w:t>
            </w:r>
            <w:r>
              <w:rPr>
                <w:rFonts w:hint="eastAsia" w:asciiTheme="minorEastAsia" w:hAnsiTheme="minorEastAsia" w:eastAsiaTheme="minorEastAsia" w:cstheme="minorEastAsia"/>
                <w:sz w:val="21"/>
                <w:szCs w:val="21"/>
                <w:lang w:eastAsia="zh-CN"/>
              </w:rPr>
              <w:t>22</w:t>
            </w:r>
            <w:r>
              <w:rPr>
                <w:rFonts w:hint="eastAsia" w:asciiTheme="minorEastAsia" w:hAnsiTheme="minorEastAsia" w:eastAsiaTheme="minorEastAsia" w:cstheme="minorEastAsia"/>
                <w:sz w:val="21"/>
                <w:szCs w:val="21"/>
              </w:rPr>
              <w:t>年度财务报表复印件（至少包含资产负债表），③也可提供截至响应文件递交截止日</w:t>
            </w:r>
            <w:r>
              <w:rPr>
                <w:rFonts w:hint="eastAsia" w:asciiTheme="minorEastAsia" w:hAnsiTheme="minorEastAsia" w:eastAsiaTheme="minorEastAsia" w:cstheme="minorEastAsia"/>
                <w:sz w:val="21"/>
                <w:szCs w:val="21"/>
                <w:lang w:eastAsia="zh-CN"/>
              </w:rPr>
              <w:t>六个月</w:t>
            </w:r>
            <w:r>
              <w:rPr>
                <w:rFonts w:hint="eastAsia" w:asciiTheme="minorEastAsia" w:hAnsiTheme="minorEastAsia" w:eastAsiaTheme="minorEastAsia" w:cstheme="minorEastAsia"/>
                <w:sz w:val="21"/>
                <w:szCs w:val="21"/>
              </w:rPr>
              <w:t>内银行出具的资信证明（复印件），④供应商注册时间截至响应文件递交截止日不足一年的，也可提供加盖工商备案主管部门印章的公司章程复印件</w:t>
            </w:r>
            <w:r>
              <w:rPr>
                <w:rFonts w:hint="eastAsia" w:asciiTheme="minorEastAsia" w:hAnsiTheme="minorEastAsia" w:eastAsiaTheme="minorEastAsia" w:cstheme="minorEastAsia"/>
                <w:sz w:val="21"/>
                <w:szCs w:val="21"/>
                <w:lang w:eastAsia="zh-CN"/>
              </w:rPr>
              <w:t>，⑤也可提供政府采购信用担保机构出具的《政府采购投标担保函》</w:t>
            </w:r>
            <w:r>
              <w:rPr>
                <w:rFonts w:hint="eastAsia" w:asciiTheme="minorEastAsia" w:hAnsiTheme="minorEastAsia" w:eastAsiaTheme="minorEastAsia" w:cstheme="minorEastAsia"/>
                <w:sz w:val="21"/>
                <w:szCs w:val="21"/>
              </w:rPr>
              <w:t>｝</w:t>
            </w:r>
          </w:p>
          <w:p w14:paraId="62E3D8DF">
            <w:pPr>
              <w:pStyle w:val="3"/>
              <w:spacing w:after="0" w:line="240" w:lineRule="auto"/>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4.具有依法缴纳税收和社会保障资金的良好记录（①社会保障资金缴纳证明：提供202</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rPr>
              <w:t>月1日至今已缴存的任一月份的社会保障资金缴存单据或社保机构开具的社会保险参保缴费情况证明，依法不需要缴纳社会保障资金的供应商应提供相关文件证明；</w:t>
            </w:r>
          </w:p>
          <w:p w14:paraId="425968C0">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）；②提供202</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rPr>
              <w:t>月1日至今已缴纳的至少一个月的纳税证明或完税证明，依法免税的单位应提供相关证明材料；）；</w:t>
            </w:r>
          </w:p>
          <w:p w14:paraId="7F70ED18">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5.具备履行合同所必需的设备和专业技术能力的证明材料（</w:t>
            </w:r>
            <w:r>
              <w:rPr>
                <w:rFonts w:hint="eastAsia" w:asciiTheme="minorEastAsia" w:hAnsiTheme="minorEastAsia" w:eastAsiaTheme="minorEastAsia" w:cstheme="minorEastAsia"/>
                <w:sz w:val="21"/>
                <w:szCs w:val="21"/>
                <w:lang w:eastAsia="zh-CN"/>
              </w:rPr>
              <w:t>按照磋商文件格式附件1－2提供承诺函</w:t>
            </w:r>
            <w:r>
              <w:rPr>
                <w:rFonts w:hint="eastAsia" w:asciiTheme="minorEastAsia" w:hAnsiTheme="minorEastAsia" w:eastAsiaTheme="minorEastAsia" w:cstheme="minorEastAsia"/>
                <w:sz w:val="21"/>
                <w:szCs w:val="21"/>
              </w:rPr>
              <w:t>）；</w:t>
            </w:r>
          </w:p>
          <w:p w14:paraId="7BF3D16C">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6.参加政府采购活动前3年内在经营活动中没有重大违法记录的承诺函（</w:t>
            </w:r>
            <w:r>
              <w:rPr>
                <w:rFonts w:hint="eastAsia" w:asciiTheme="minorEastAsia" w:hAnsiTheme="minorEastAsia" w:eastAsiaTheme="minorEastAsia" w:cstheme="minorEastAsia"/>
                <w:sz w:val="21"/>
                <w:szCs w:val="21"/>
                <w:lang w:eastAsia="zh-CN"/>
              </w:rPr>
              <w:t>按照磋商文件格式附件1－2提供承诺函</w:t>
            </w:r>
            <w:r>
              <w:rPr>
                <w:rFonts w:hint="eastAsia" w:asciiTheme="minorEastAsia" w:hAnsiTheme="minorEastAsia" w:eastAsiaTheme="minorEastAsia" w:cstheme="minorEastAsia"/>
                <w:sz w:val="21"/>
                <w:szCs w:val="21"/>
              </w:rPr>
              <w:t>）；</w:t>
            </w:r>
          </w:p>
          <w:p w14:paraId="6062E7CD">
            <w:pPr>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7.具备法律、行政法规规定的其他条件的证明材料（</w:t>
            </w:r>
            <w:r>
              <w:rPr>
                <w:rFonts w:hint="eastAsia" w:asciiTheme="minorEastAsia" w:hAnsiTheme="minorEastAsia" w:eastAsiaTheme="minorEastAsia" w:cstheme="minorEastAsia"/>
                <w:sz w:val="21"/>
                <w:szCs w:val="21"/>
                <w:lang w:eastAsia="zh-CN"/>
              </w:rPr>
              <w:t>按照磋商文件格式附件1－2提供承诺函</w:t>
            </w:r>
            <w:r>
              <w:rPr>
                <w:rFonts w:hint="eastAsia" w:asciiTheme="minorEastAsia" w:hAnsiTheme="minorEastAsia" w:eastAsiaTheme="minorEastAsia" w:cstheme="minorEastAsia"/>
                <w:sz w:val="21"/>
                <w:szCs w:val="21"/>
              </w:rPr>
              <w:t>）；</w:t>
            </w:r>
          </w:p>
        </w:tc>
      </w:tr>
      <w:tr w14:paraId="06C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826" w:type="dxa"/>
            <w:tcMar>
              <w:left w:w="0" w:type="dxa"/>
              <w:right w:w="0" w:type="dxa"/>
            </w:tcMar>
            <w:vAlign w:val="center"/>
          </w:tcPr>
          <w:p w14:paraId="0B8288FC">
            <w:pPr>
              <w:widowControl/>
              <w:tabs>
                <w:tab w:val="left" w:pos="394"/>
                <w:tab w:val="left" w:pos="846"/>
              </w:tabs>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01" w:type="dxa"/>
            <w:tcMar>
              <w:left w:w="0" w:type="dxa"/>
              <w:right w:w="0" w:type="dxa"/>
            </w:tcMar>
            <w:vAlign w:val="center"/>
          </w:tcPr>
          <w:p w14:paraId="041693BA">
            <w:pPr>
              <w:widowControl/>
              <w:wordWrap/>
              <w:spacing w:line="240" w:lineRule="auto"/>
              <w:ind w:left="100" w:lef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法定代表人授权书</w:t>
            </w:r>
            <w:r>
              <w:rPr>
                <w:rFonts w:hint="eastAsia" w:asciiTheme="minorEastAsia" w:hAnsiTheme="minorEastAsia" w:eastAsiaTheme="minorEastAsia" w:cstheme="minorEastAsia"/>
                <w:sz w:val="21"/>
                <w:szCs w:val="21"/>
                <w:lang w:eastAsia="zh-CN"/>
              </w:rPr>
              <w:t>；</w:t>
            </w:r>
          </w:p>
        </w:tc>
        <w:tc>
          <w:tcPr>
            <w:tcW w:w="5663" w:type="dxa"/>
            <w:tcMar>
              <w:left w:w="0" w:type="dxa"/>
              <w:right w:w="0" w:type="dxa"/>
            </w:tcMar>
            <w:vAlign w:val="center"/>
          </w:tcPr>
          <w:p w14:paraId="3BDDCDF9">
            <w:pPr>
              <w:widowControl/>
              <w:wordWrap/>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按采购文件规定格式提供原件（</w:t>
            </w:r>
            <w:r>
              <w:rPr>
                <w:rFonts w:hint="eastAsia" w:asciiTheme="minorEastAsia" w:hAnsiTheme="minorEastAsia" w:eastAsiaTheme="minorEastAsia" w:cstheme="minorEastAsia"/>
                <w:sz w:val="21"/>
                <w:szCs w:val="21"/>
              </w:rPr>
              <w:t>放入</w:t>
            </w:r>
            <w:r>
              <w:rPr>
                <w:rFonts w:hint="eastAsia" w:asciiTheme="minorEastAsia" w:hAnsiTheme="minorEastAsia" w:eastAsiaTheme="minorEastAsia" w:cstheme="minorEastAsia"/>
                <w:sz w:val="21"/>
                <w:szCs w:val="21"/>
                <w:lang w:eastAsia="zh-CN"/>
              </w:rPr>
              <w:t>资格</w:t>
            </w:r>
            <w:r>
              <w:rPr>
                <w:rFonts w:hint="eastAsia" w:asciiTheme="minorEastAsia" w:hAnsiTheme="minorEastAsia" w:eastAsiaTheme="minorEastAsia" w:cstheme="minorEastAsia"/>
                <w:sz w:val="21"/>
                <w:szCs w:val="21"/>
              </w:rPr>
              <w:t>响应文件正本中</w:t>
            </w:r>
            <w:r>
              <w:rPr>
                <w:rFonts w:hint="eastAsia" w:asciiTheme="minorEastAsia" w:hAnsiTheme="minorEastAsia" w:eastAsiaTheme="minorEastAsia" w:cstheme="minorEastAsia"/>
                <w:sz w:val="21"/>
                <w:szCs w:val="21"/>
                <w:lang w:eastAsia="zh-CN"/>
              </w:rPr>
              <w:t>，法定代表人直接参加的不需提供）</w:t>
            </w:r>
          </w:p>
        </w:tc>
      </w:tr>
      <w:tr w14:paraId="05F7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826" w:type="dxa"/>
            <w:tcMar>
              <w:left w:w="0" w:type="dxa"/>
              <w:right w:w="0" w:type="dxa"/>
            </w:tcMar>
            <w:vAlign w:val="center"/>
          </w:tcPr>
          <w:p w14:paraId="5AD535E3">
            <w:pPr>
              <w:widowControl/>
              <w:tabs>
                <w:tab w:val="left" w:pos="394"/>
                <w:tab w:val="left" w:pos="846"/>
              </w:tabs>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w:t>
            </w:r>
          </w:p>
        </w:tc>
        <w:tc>
          <w:tcPr>
            <w:tcW w:w="1901" w:type="dxa"/>
            <w:tcMar>
              <w:left w:w="0" w:type="dxa"/>
              <w:right w:w="0" w:type="dxa"/>
            </w:tcMar>
            <w:vAlign w:val="center"/>
          </w:tcPr>
          <w:p w14:paraId="6DF3BA1D">
            <w:pPr>
              <w:widowControl/>
              <w:wordWrap/>
              <w:spacing w:line="240" w:lineRule="auto"/>
              <w:ind w:firstLine="105" w:firstLineChars="5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法定代表人和被授权人身份证件</w:t>
            </w:r>
            <w:r>
              <w:rPr>
                <w:rFonts w:hint="eastAsia" w:asciiTheme="minorEastAsia" w:hAnsiTheme="minorEastAsia" w:eastAsiaTheme="minorEastAsia" w:cstheme="minorEastAsia"/>
                <w:sz w:val="21"/>
                <w:szCs w:val="21"/>
                <w:lang w:eastAsia="zh-CN"/>
              </w:rPr>
              <w:t>；</w:t>
            </w:r>
          </w:p>
        </w:tc>
        <w:tc>
          <w:tcPr>
            <w:tcW w:w="5663" w:type="dxa"/>
            <w:tcMar>
              <w:left w:w="0" w:type="dxa"/>
              <w:right w:w="0" w:type="dxa"/>
            </w:tcMar>
            <w:vAlign w:val="center"/>
          </w:tcPr>
          <w:p w14:paraId="46D8CEEC">
            <w:pPr>
              <w:widowControl/>
              <w:wordWrap/>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复印件加盖公章（放入</w:t>
            </w:r>
            <w:r>
              <w:rPr>
                <w:rFonts w:hint="eastAsia" w:asciiTheme="minorEastAsia" w:hAnsiTheme="minorEastAsia" w:eastAsiaTheme="minorEastAsia" w:cstheme="minorEastAsia"/>
                <w:sz w:val="21"/>
                <w:szCs w:val="21"/>
                <w:lang w:eastAsia="zh-CN"/>
              </w:rPr>
              <w:t>资格</w:t>
            </w:r>
            <w:r>
              <w:rPr>
                <w:rFonts w:hint="eastAsia" w:asciiTheme="minorEastAsia" w:hAnsiTheme="minorEastAsia" w:eastAsiaTheme="minorEastAsia" w:cstheme="minorEastAsia"/>
                <w:sz w:val="21"/>
                <w:szCs w:val="21"/>
              </w:rPr>
              <w:t>响应文件正本中）</w:t>
            </w:r>
          </w:p>
        </w:tc>
      </w:tr>
      <w:tr w14:paraId="7434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826" w:type="dxa"/>
            <w:tcMar>
              <w:left w:w="0" w:type="dxa"/>
              <w:right w:w="0" w:type="dxa"/>
            </w:tcMar>
            <w:vAlign w:val="center"/>
          </w:tcPr>
          <w:p w14:paraId="5520EE05">
            <w:pPr>
              <w:widowControl/>
              <w:tabs>
                <w:tab w:val="left" w:pos="394"/>
                <w:tab w:val="left" w:pos="846"/>
              </w:tabs>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p>
        </w:tc>
        <w:tc>
          <w:tcPr>
            <w:tcW w:w="1901" w:type="dxa"/>
            <w:tcMar>
              <w:left w:w="0" w:type="dxa"/>
              <w:right w:w="0" w:type="dxa"/>
            </w:tcMar>
            <w:vAlign w:val="center"/>
          </w:tcPr>
          <w:p w14:paraId="1E0F9352">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供应商未被列入失信被执行人、重大税收违法案件当事人名单、政府采购严重违法失信行为记录</w:t>
            </w:r>
          </w:p>
        </w:tc>
        <w:tc>
          <w:tcPr>
            <w:tcW w:w="5663" w:type="dxa"/>
            <w:tcMar>
              <w:left w:w="0" w:type="dxa"/>
              <w:right w:w="0" w:type="dxa"/>
            </w:tcMar>
            <w:vAlign w:val="center"/>
          </w:tcPr>
          <w:p w14:paraId="2ED41A18">
            <w:pPr>
              <w:widowControl/>
              <w:wordWrap/>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或采购代理机构将于本项目磋商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14:paraId="6DE7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826" w:type="dxa"/>
            <w:tcMar>
              <w:left w:w="0" w:type="dxa"/>
              <w:right w:w="0" w:type="dxa"/>
            </w:tcMar>
            <w:vAlign w:val="center"/>
          </w:tcPr>
          <w:p w14:paraId="3E06C191">
            <w:pPr>
              <w:widowControl/>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p>
        </w:tc>
        <w:tc>
          <w:tcPr>
            <w:tcW w:w="1901" w:type="dxa"/>
            <w:tcMar>
              <w:left w:w="0" w:type="dxa"/>
              <w:right w:w="0" w:type="dxa"/>
            </w:tcMar>
            <w:vAlign w:val="center"/>
          </w:tcPr>
          <w:p w14:paraId="26570B7E">
            <w:pPr>
              <w:widowControl/>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单位负责人为同一人或者存在直接控股、管理关系的不同投标人，不得参加同一合同项下的政府采购活动。</w:t>
            </w:r>
          </w:p>
          <w:p w14:paraId="682A497A">
            <w:pPr>
              <w:widowControl/>
              <w:spacing w:line="240" w:lineRule="auto"/>
              <w:jc w:val="left"/>
              <w:rPr>
                <w:rFonts w:hint="eastAsia" w:asciiTheme="minorEastAsia" w:hAnsiTheme="minorEastAsia" w:eastAsiaTheme="minorEastAsia" w:cstheme="minorEastAsia"/>
                <w:sz w:val="21"/>
                <w:szCs w:val="21"/>
                <w:lang w:eastAsia="zh-CN"/>
              </w:rPr>
            </w:pPr>
          </w:p>
        </w:tc>
        <w:tc>
          <w:tcPr>
            <w:tcW w:w="5663" w:type="dxa"/>
            <w:tcMar>
              <w:left w:w="0" w:type="dxa"/>
              <w:right w:w="0" w:type="dxa"/>
            </w:tcMar>
            <w:vAlign w:val="center"/>
          </w:tcPr>
          <w:p w14:paraId="32D0E5FD">
            <w:pPr>
              <w:widowControl/>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根据财库【2019】38号文规定，此项由采购代理机构在磋商截止日当天在“国家企业信用信息公示系统”进行查询，截图留档；如网站无供应商信息的，供应商须提供相关证明资料或书面声明。</w:t>
            </w:r>
          </w:p>
        </w:tc>
      </w:tr>
      <w:tr w14:paraId="457A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8390" w:type="dxa"/>
            <w:gridSpan w:val="3"/>
            <w:tcMar>
              <w:left w:w="0" w:type="dxa"/>
              <w:right w:w="0" w:type="dxa"/>
            </w:tcMar>
            <w:vAlign w:val="center"/>
          </w:tcPr>
          <w:p w14:paraId="13D663DE">
            <w:pPr>
              <w:widowControl/>
              <w:wordWrap/>
              <w:spacing w:line="240" w:lineRule="auto"/>
              <w:jc w:val="left"/>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注：</w:t>
            </w:r>
            <w:r>
              <w:rPr>
                <w:rFonts w:hint="eastAsia" w:asciiTheme="majorEastAsia" w:hAnsiTheme="majorEastAsia" w:eastAsiaTheme="majorEastAsia" w:cstheme="majorEastAsia"/>
                <w:b/>
                <w:sz w:val="21"/>
                <w:szCs w:val="21"/>
                <w:lang w:eastAsia="zh-CN"/>
              </w:rPr>
              <w:t>1.本项目不接受联合体。</w:t>
            </w:r>
          </w:p>
          <w:p w14:paraId="581A25C0">
            <w:pPr>
              <w:widowControl/>
              <w:wordWrap/>
              <w:spacing w:line="240" w:lineRule="auto"/>
              <w:ind w:firstLine="422" w:firstLineChars="200"/>
              <w:jc w:val="left"/>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lang w:eastAsia="zh-CN"/>
              </w:rPr>
              <w:t>2.请供应商认真核对响应文件中是否按上述要求提供资格证明材料，未按上述要求提供的，自行承担无法通过资格审核的风险。</w:t>
            </w:r>
          </w:p>
          <w:p w14:paraId="6BB2317D">
            <w:pPr>
              <w:spacing w:line="240" w:lineRule="auto"/>
              <w:ind w:firstLine="422" w:firstLineChars="200"/>
              <w:jc w:val="left"/>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lang w:eastAsia="zh-CN"/>
              </w:rPr>
              <w:t>3.</w:t>
            </w:r>
            <w:r>
              <w:rPr>
                <w:rFonts w:hint="eastAsia" w:asciiTheme="majorEastAsia" w:hAnsiTheme="majorEastAsia" w:eastAsiaTheme="majorEastAsia" w:cstheme="majorEastAsia"/>
                <w:b/>
                <w:sz w:val="21"/>
                <w:szCs w:val="21"/>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192E5EBA">
            <w:pPr>
              <w:widowControl/>
              <w:wordWrap/>
              <w:spacing w:line="240" w:lineRule="auto"/>
              <w:ind w:firstLine="422" w:firstLineChars="200"/>
              <w:jc w:val="left"/>
              <w:rPr>
                <w:rFonts w:hAnsi="宋体"/>
                <w:b/>
                <w:sz w:val="24"/>
                <w:lang w:eastAsia="zh-CN"/>
              </w:rPr>
            </w:pPr>
            <w:r>
              <w:rPr>
                <w:rFonts w:hint="eastAsia" w:asciiTheme="majorEastAsia" w:hAnsiTheme="majorEastAsia" w:eastAsiaTheme="majorEastAsia" w:cstheme="majorEastAsia"/>
                <w:b/>
                <w:sz w:val="21"/>
                <w:szCs w:val="21"/>
                <w:lang w:eastAsia="zh-CN"/>
              </w:rPr>
              <w:t>4.</w:t>
            </w:r>
            <w:r>
              <w:rPr>
                <w:rFonts w:hint="eastAsia" w:asciiTheme="majorEastAsia" w:hAnsiTheme="majorEastAsia" w:eastAsiaTheme="majorEastAsia" w:cstheme="majorEastAsia"/>
                <w:kern w:val="0"/>
                <w:sz w:val="21"/>
                <w:szCs w:val="21"/>
                <w:lang w:eastAsia="zh-CN"/>
              </w:rPr>
              <w:t xml:space="preserve"> </w:t>
            </w:r>
            <w:r>
              <w:rPr>
                <w:rFonts w:hint="eastAsia" w:asciiTheme="majorEastAsia" w:hAnsiTheme="majorEastAsia" w:eastAsiaTheme="majorEastAsia" w:cstheme="majorEastAsia"/>
                <w:b/>
                <w:sz w:val="21"/>
                <w:szCs w:val="21"/>
                <w:lang w:eastAsia="zh-CN"/>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tc>
      </w:tr>
    </w:tbl>
    <w:p w14:paraId="4D64ABBE">
      <w:pPr>
        <w:keepNext/>
        <w:keepLines/>
        <w:widowControl/>
        <w:tabs>
          <w:tab w:val="left" w:pos="425"/>
          <w:tab w:val="left" w:pos="4265"/>
        </w:tabs>
        <w:wordWrap/>
        <w:spacing w:before="340" w:after="330"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r>
        <w:rPr>
          <w:rFonts w:asciiTheme="minorEastAsia" w:hAnsiTheme="minorEastAsia" w:eastAsiaTheme="minorEastAsia"/>
          <w:b/>
          <w:sz w:val="24"/>
        </w:rPr>
        <w:t>第</w:t>
      </w:r>
      <w:r>
        <w:rPr>
          <w:rFonts w:hint="eastAsia" w:asciiTheme="minorEastAsia" w:hAnsiTheme="minorEastAsia" w:eastAsiaTheme="minorEastAsia"/>
          <w:b/>
          <w:sz w:val="24"/>
          <w:lang w:val="en-US" w:eastAsia="zh-CN"/>
        </w:rPr>
        <w:t>三</w:t>
      </w:r>
      <w:r>
        <w:rPr>
          <w:rFonts w:asciiTheme="minorEastAsia" w:hAnsiTheme="minorEastAsia" w:eastAsiaTheme="minorEastAsia"/>
          <w:b/>
          <w:sz w:val="24"/>
        </w:rPr>
        <w:t xml:space="preserve">章  </w:t>
      </w:r>
      <w:r>
        <w:rPr>
          <w:rFonts w:hint="eastAsia" w:asciiTheme="minorEastAsia" w:hAnsiTheme="minorEastAsia" w:eastAsiaTheme="minorEastAsia"/>
          <w:b/>
          <w:sz w:val="24"/>
          <w:lang w:val="en-US" w:eastAsia="zh-CN"/>
        </w:rPr>
        <w:t>参数指标</w:t>
      </w:r>
      <w:r>
        <w:rPr>
          <w:rFonts w:asciiTheme="minorEastAsia" w:hAnsiTheme="minorEastAsia" w:eastAsiaTheme="minorEastAsia"/>
          <w:b/>
          <w:sz w:val="24"/>
        </w:rPr>
        <w:t>、商务条件说明</w:t>
      </w:r>
    </w:p>
    <w:p w14:paraId="795B2AD1">
      <w:pPr>
        <w:keepNext/>
        <w:keepLines/>
        <w:widowControl/>
        <w:tabs>
          <w:tab w:val="left" w:pos="425"/>
          <w:tab w:val="left" w:pos="4265"/>
        </w:tabs>
        <w:wordWrap/>
        <w:spacing w:before="340" w:after="330" w:line="360" w:lineRule="auto"/>
        <w:jc w:val="both"/>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1.技术指标</w:t>
      </w:r>
    </w:p>
    <w:tbl>
      <w:tblPr>
        <w:tblStyle w:val="5"/>
        <w:tblW w:w="8340" w:type="dxa"/>
        <w:tblInd w:w="103" w:type="dxa"/>
        <w:tblLayout w:type="fixed"/>
        <w:tblCellMar>
          <w:top w:w="0" w:type="dxa"/>
          <w:left w:w="108" w:type="dxa"/>
          <w:bottom w:w="0" w:type="dxa"/>
          <w:right w:w="108" w:type="dxa"/>
        </w:tblCellMar>
      </w:tblPr>
      <w:tblGrid>
        <w:gridCol w:w="702"/>
        <w:gridCol w:w="1211"/>
        <w:gridCol w:w="6427"/>
      </w:tblGrid>
      <w:tr w14:paraId="48197B3E">
        <w:tblPrEx>
          <w:tblCellMar>
            <w:top w:w="0" w:type="dxa"/>
            <w:left w:w="108" w:type="dxa"/>
            <w:bottom w:w="0" w:type="dxa"/>
            <w:right w:w="108" w:type="dxa"/>
          </w:tblCellMar>
        </w:tblPrEx>
        <w:trPr>
          <w:trHeight w:val="309" w:hRule="atLeast"/>
        </w:trPr>
        <w:tc>
          <w:tcPr>
            <w:tcW w:w="8340" w:type="dxa"/>
            <w:gridSpan w:val="3"/>
            <w:tcBorders>
              <w:top w:val="single" w:color="auto" w:sz="4" w:space="0"/>
              <w:left w:val="single" w:color="auto" w:sz="4" w:space="0"/>
              <w:bottom w:val="single" w:color="auto" w:sz="4" w:space="0"/>
              <w:right w:val="single" w:color="auto" w:sz="4" w:space="0"/>
            </w:tcBorders>
            <w:vAlign w:val="center"/>
          </w:tcPr>
          <w:p w14:paraId="321B57CB">
            <w:pPr>
              <w:widowControl/>
              <w:jc w:val="left"/>
              <w:rPr>
                <w:rFonts w:ascii="宋体" w:hAnsi="宋体" w:cs="宋体"/>
                <w:kern w:val="0"/>
                <w:szCs w:val="21"/>
              </w:rPr>
            </w:pPr>
            <w:r>
              <w:rPr>
                <w:rFonts w:hint="eastAsia" w:ascii="宋体" w:hAnsi="宋体" w:cs="宋体"/>
                <w:kern w:val="0"/>
                <w:szCs w:val="21"/>
              </w:rPr>
              <w:t>（1）结构示意图</w:t>
            </w:r>
          </w:p>
        </w:tc>
      </w:tr>
      <w:tr w14:paraId="64AD6879">
        <w:tblPrEx>
          <w:tblCellMar>
            <w:top w:w="0" w:type="dxa"/>
            <w:left w:w="108" w:type="dxa"/>
            <w:bottom w:w="0" w:type="dxa"/>
            <w:right w:w="108" w:type="dxa"/>
          </w:tblCellMar>
        </w:tblPrEx>
        <w:trPr>
          <w:trHeight w:val="309" w:hRule="atLeast"/>
        </w:trPr>
        <w:tc>
          <w:tcPr>
            <w:tcW w:w="1913" w:type="dxa"/>
            <w:gridSpan w:val="2"/>
            <w:vMerge w:val="restart"/>
            <w:tcBorders>
              <w:top w:val="single" w:color="auto" w:sz="4" w:space="0"/>
              <w:left w:val="single" w:color="auto" w:sz="4" w:space="0"/>
              <w:bottom w:val="single" w:color="auto" w:sz="4" w:space="0"/>
              <w:right w:val="nil"/>
            </w:tcBorders>
            <w:vAlign w:val="center"/>
          </w:tcPr>
          <w:p w14:paraId="0F688890">
            <w:pPr>
              <w:widowControl/>
              <w:jc w:val="center"/>
              <w:rPr>
                <w:rFonts w:ascii="宋体" w:hAnsi="宋体" w:cs="宋体"/>
                <w:kern w:val="0"/>
                <w:szCs w:val="21"/>
              </w:rPr>
            </w:pPr>
            <w:r>
              <w:rPr>
                <w:rFonts w:hint="eastAsia" w:ascii="宋体" w:hAnsi="宋体" w:cs="宋体"/>
                <w:kern w:val="0"/>
                <w:szCs w:val="21"/>
              </w:rPr>
              <w:drawing>
                <wp:inline distT="0" distB="0" distL="0" distR="0">
                  <wp:extent cx="628650" cy="609600"/>
                  <wp:effectExtent l="0" t="0" r="1143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628650" cy="609600"/>
                          </a:xfrm>
                          <a:prstGeom prst="rect">
                            <a:avLst/>
                          </a:prstGeom>
                          <a:noFill/>
                          <a:ln w="9525">
                            <a:noFill/>
                            <a:miter lim="800000"/>
                            <a:headEnd/>
                            <a:tailEnd/>
                          </a:ln>
                        </pic:spPr>
                      </pic:pic>
                    </a:graphicData>
                  </a:graphic>
                </wp:inline>
              </w:drawing>
            </w:r>
          </w:p>
        </w:tc>
        <w:tc>
          <w:tcPr>
            <w:tcW w:w="6427" w:type="dxa"/>
            <w:tcBorders>
              <w:top w:val="single" w:color="auto" w:sz="4" w:space="0"/>
              <w:left w:val="single" w:color="auto" w:sz="4" w:space="0"/>
              <w:bottom w:val="nil"/>
              <w:right w:val="single" w:color="auto" w:sz="4" w:space="0"/>
            </w:tcBorders>
            <w:vAlign w:val="center"/>
          </w:tcPr>
          <w:p w14:paraId="59CF907C">
            <w:pPr>
              <w:widowControl/>
              <w:jc w:val="left"/>
              <w:rPr>
                <w:rFonts w:ascii="宋体" w:hAnsi="宋体" w:cs="宋体"/>
                <w:kern w:val="0"/>
                <w:szCs w:val="21"/>
              </w:rPr>
            </w:pPr>
            <w:r>
              <w:rPr>
                <w:rFonts w:hint="eastAsia" w:ascii="宋体" w:hAnsi="宋体" w:cs="宋体"/>
                <w:kern w:val="0"/>
                <w:szCs w:val="21"/>
              </w:rPr>
              <w:t>1、像素构成：</w:t>
            </w:r>
          </w:p>
        </w:tc>
      </w:tr>
      <w:tr w14:paraId="5924184B">
        <w:tblPrEx>
          <w:tblCellMar>
            <w:top w:w="0" w:type="dxa"/>
            <w:left w:w="108" w:type="dxa"/>
            <w:bottom w:w="0" w:type="dxa"/>
            <w:right w:w="108" w:type="dxa"/>
          </w:tblCellMar>
        </w:tblPrEx>
        <w:trPr>
          <w:trHeight w:val="309" w:hRule="atLeast"/>
        </w:trPr>
        <w:tc>
          <w:tcPr>
            <w:tcW w:w="1913" w:type="dxa"/>
            <w:gridSpan w:val="2"/>
            <w:vMerge w:val="continue"/>
            <w:tcBorders>
              <w:top w:val="single" w:color="auto" w:sz="4" w:space="0"/>
              <w:left w:val="single" w:color="auto" w:sz="4" w:space="0"/>
              <w:bottom w:val="single" w:color="auto" w:sz="4" w:space="0"/>
              <w:right w:val="nil"/>
            </w:tcBorders>
            <w:vAlign w:val="center"/>
          </w:tcPr>
          <w:p w14:paraId="6EB5A7D7">
            <w:pPr>
              <w:widowControl/>
              <w:jc w:val="left"/>
              <w:rPr>
                <w:rFonts w:ascii="宋体" w:hAnsi="宋体" w:cs="宋体"/>
                <w:kern w:val="0"/>
                <w:szCs w:val="21"/>
              </w:rPr>
            </w:pPr>
          </w:p>
        </w:tc>
        <w:tc>
          <w:tcPr>
            <w:tcW w:w="6427" w:type="dxa"/>
            <w:tcBorders>
              <w:top w:val="nil"/>
              <w:left w:val="single" w:color="auto" w:sz="4" w:space="0"/>
              <w:bottom w:val="nil"/>
              <w:right w:val="single" w:color="auto" w:sz="4" w:space="0"/>
            </w:tcBorders>
            <w:vAlign w:val="center"/>
          </w:tcPr>
          <w:p w14:paraId="153ECB95">
            <w:pPr>
              <w:widowControl/>
              <w:ind w:firstLine="300" w:firstLineChars="150"/>
              <w:jc w:val="left"/>
              <w:rPr>
                <w:rFonts w:ascii="宋体" w:hAnsi="宋体" w:cs="宋体"/>
                <w:kern w:val="0"/>
                <w:szCs w:val="21"/>
              </w:rPr>
            </w:pPr>
            <w:r>
              <w:rPr>
                <w:rFonts w:hint="eastAsia" w:ascii="宋体" w:hAnsi="宋体" w:cs="宋体"/>
                <w:kern w:val="0"/>
                <w:szCs w:val="21"/>
              </w:rPr>
              <w:t>1R、1G、1B</w:t>
            </w:r>
          </w:p>
        </w:tc>
      </w:tr>
      <w:tr w14:paraId="57D25D6B">
        <w:tblPrEx>
          <w:tblCellMar>
            <w:top w:w="0" w:type="dxa"/>
            <w:left w:w="108" w:type="dxa"/>
            <w:bottom w:w="0" w:type="dxa"/>
            <w:right w:w="108" w:type="dxa"/>
          </w:tblCellMar>
        </w:tblPrEx>
        <w:trPr>
          <w:trHeight w:val="309" w:hRule="atLeast"/>
        </w:trPr>
        <w:tc>
          <w:tcPr>
            <w:tcW w:w="1913" w:type="dxa"/>
            <w:gridSpan w:val="2"/>
            <w:vMerge w:val="continue"/>
            <w:tcBorders>
              <w:top w:val="single" w:color="auto" w:sz="4" w:space="0"/>
              <w:left w:val="single" w:color="auto" w:sz="4" w:space="0"/>
              <w:bottom w:val="single" w:color="auto" w:sz="4" w:space="0"/>
              <w:right w:val="nil"/>
            </w:tcBorders>
            <w:vAlign w:val="center"/>
          </w:tcPr>
          <w:p w14:paraId="22EF60BB">
            <w:pPr>
              <w:widowControl/>
              <w:jc w:val="left"/>
              <w:rPr>
                <w:rFonts w:ascii="宋体" w:hAnsi="宋体" w:cs="宋体"/>
                <w:kern w:val="0"/>
                <w:szCs w:val="21"/>
              </w:rPr>
            </w:pPr>
          </w:p>
        </w:tc>
        <w:tc>
          <w:tcPr>
            <w:tcW w:w="6427" w:type="dxa"/>
            <w:tcBorders>
              <w:top w:val="nil"/>
              <w:left w:val="single" w:color="auto" w:sz="4" w:space="0"/>
              <w:bottom w:val="nil"/>
              <w:right w:val="single" w:color="auto" w:sz="4" w:space="0"/>
            </w:tcBorders>
            <w:vAlign w:val="center"/>
          </w:tcPr>
          <w:p w14:paraId="3130EE0B">
            <w:pPr>
              <w:widowControl/>
              <w:jc w:val="left"/>
              <w:rPr>
                <w:rFonts w:ascii="宋体" w:hAnsi="宋体"/>
                <w:kern w:val="0"/>
                <w:szCs w:val="21"/>
              </w:rPr>
            </w:pPr>
            <w:r>
              <w:rPr>
                <w:rFonts w:hint="eastAsia" w:ascii="宋体" w:hAnsi="宋体"/>
                <w:kern w:val="0"/>
                <w:szCs w:val="21"/>
              </w:rPr>
              <w:t>2、结构：</w:t>
            </w:r>
          </w:p>
        </w:tc>
      </w:tr>
      <w:tr w14:paraId="37AE2C5E">
        <w:tblPrEx>
          <w:tblCellMar>
            <w:top w:w="0" w:type="dxa"/>
            <w:left w:w="108" w:type="dxa"/>
            <w:bottom w:w="0" w:type="dxa"/>
            <w:right w:w="108" w:type="dxa"/>
          </w:tblCellMar>
        </w:tblPrEx>
        <w:trPr>
          <w:trHeight w:val="501" w:hRule="atLeast"/>
        </w:trPr>
        <w:tc>
          <w:tcPr>
            <w:tcW w:w="1913" w:type="dxa"/>
            <w:gridSpan w:val="2"/>
            <w:vMerge w:val="continue"/>
            <w:tcBorders>
              <w:top w:val="single" w:color="auto" w:sz="4" w:space="0"/>
              <w:left w:val="single" w:color="auto" w:sz="4" w:space="0"/>
              <w:bottom w:val="single" w:color="auto" w:sz="4" w:space="0"/>
              <w:right w:val="nil"/>
            </w:tcBorders>
            <w:vAlign w:val="center"/>
          </w:tcPr>
          <w:p w14:paraId="3A97153A">
            <w:pPr>
              <w:widowControl/>
              <w:jc w:val="left"/>
              <w:rPr>
                <w:rFonts w:ascii="宋体" w:hAnsi="宋体" w:cs="宋体"/>
                <w:kern w:val="0"/>
                <w:szCs w:val="21"/>
              </w:rPr>
            </w:pPr>
          </w:p>
        </w:tc>
        <w:tc>
          <w:tcPr>
            <w:tcW w:w="6427" w:type="dxa"/>
            <w:tcBorders>
              <w:top w:val="nil"/>
              <w:left w:val="single" w:color="auto" w:sz="4" w:space="0"/>
              <w:bottom w:val="single" w:color="auto" w:sz="4" w:space="0"/>
              <w:right w:val="single" w:color="auto" w:sz="4" w:space="0"/>
            </w:tcBorders>
            <w:vAlign w:val="center"/>
          </w:tcPr>
          <w:p w14:paraId="66D9BFCF">
            <w:pPr>
              <w:widowControl/>
              <w:ind w:left="300" w:leftChars="150"/>
              <w:jc w:val="left"/>
              <w:rPr>
                <w:rFonts w:ascii="宋体" w:hAnsi="宋体" w:cs="宋体"/>
                <w:kern w:val="0"/>
                <w:szCs w:val="21"/>
              </w:rPr>
            </w:pPr>
            <w:r>
              <w:rPr>
                <w:rFonts w:hint="eastAsia" w:ascii="宋体" w:hAnsi="宋体" w:cs="宋体"/>
                <w:kern w:val="0"/>
                <w:szCs w:val="21"/>
              </w:rPr>
              <w:t>LED显示屏显示部分结构可采用钢、铝、镀锌方管、塑料等材料</w:t>
            </w:r>
          </w:p>
        </w:tc>
      </w:tr>
      <w:tr w14:paraId="7CF71667">
        <w:tblPrEx>
          <w:tblCellMar>
            <w:top w:w="0" w:type="dxa"/>
            <w:left w:w="108" w:type="dxa"/>
            <w:bottom w:w="0" w:type="dxa"/>
            <w:right w:w="108" w:type="dxa"/>
          </w:tblCellMar>
        </w:tblPrEx>
        <w:trPr>
          <w:trHeight w:val="370" w:hRule="atLeast"/>
        </w:trPr>
        <w:tc>
          <w:tcPr>
            <w:tcW w:w="8340" w:type="dxa"/>
            <w:gridSpan w:val="3"/>
            <w:tcBorders>
              <w:top w:val="single" w:color="auto" w:sz="4" w:space="0"/>
              <w:left w:val="single" w:color="auto" w:sz="4" w:space="0"/>
              <w:bottom w:val="single" w:color="auto" w:sz="4" w:space="0"/>
              <w:right w:val="single" w:color="auto" w:sz="4" w:space="0"/>
            </w:tcBorders>
            <w:vAlign w:val="center"/>
          </w:tcPr>
          <w:p w14:paraId="35EE3D06">
            <w:pPr>
              <w:widowControl/>
              <w:jc w:val="left"/>
              <w:rPr>
                <w:rFonts w:ascii="宋体" w:hAnsi="宋体" w:cs="宋体"/>
                <w:kern w:val="0"/>
                <w:szCs w:val="21"/>
              </w:rPr>
            </w:pPr>
            <w:r>
              <w:rPr>
                <w:rFonts w:hint="eastAsia" w:ascii="宋体" w:hAnsi="宋体" w:cs="宋体"/>
                <w:kern w:val="0"/>
                <w:szCs w:val="21"/>
              </w:rPr>
              <w:t>（2）像素点参数</w:t>
            </w:r>
          </w:p>
        </w:tc>
      </w:tr>
      <w:tr w14:paraId="27432423">
        <w:tblPrEx>
          <w:tblCellMar>
            <w:top w:w="0" w:type="dxa"/>
            <w:left w:w="108" w:type="dxa"/>
            <w:bottom w:w="0" w:type="dxa"/>
            <w:right w:w="108" w:type="dxa"/>
          </w:tblCellMar>
        </w:tblPrEx>
        <w:trPr>
          <w:trHeight w:val="309" w:hRule="atLeast"/>
        </w:trPr>
        <w:tc>
          <w:tcPr>
            <w:tcW w:w="702" w:type="dxa"/>
            <w:tcBorders>
              <w:top w:val="nil"/>
              <w:left w:val="single" w:color="auto" w:sz="4" w:space="0"/>
              <w:bottom w:val="single" w:color="auto" w:sz="4" w:space="0"/>
              <w:right w:val="single" w:color="auto" w:sz="4" w:space="0"/>
            </w:tcBorders>
            <w:vAlign w:val="center"/>
          </w:tcPr>
          <w:p w14:paraId="58ADB2C7">
            <w:pPr>
              <w:widowControl/>
              <w:jc w:val="left"/>
              <w:rPr>
                <w:rFonts w:ascii="宋体" w:hAnsi="宋体" w:cs="宋体"/>
                <w:kern w:val="0"/>
                <w:szCs w:val="21"/>
              </w:rPr>
            </w:pPr>
            <w:r>
              <w:rPr>
                <w:rFonts w:hint="eastAsia" w:ascii="宋体" w:hAnsi="宋体" w:cs="宋体"/>
                <w:kern w:val="0"/>
                <w:szCs w:val="21"/>
              </w:rPr>
              <w:t>序号</w:t>
            </w:r>
          </w:p>
        </w:tc>
        <w:tc>
          <w:tcPr>
            <w:tcW w:w="1211" w:type="dxa"/>
            <w:tcBorders>
              <w:top w:val="nil"/>
              <w:left w:val="nil"/>
              <w:bottom w:val="single" w:color="auto" w:sz="4" w:space="0"/>
              <w:right w:val="single" w:color="auto" w:sz="4" w:space="0"/>
            </w:tcBorders>
            <w:vAlign w:val="center"/>
          </w:tcPr>
          <w:p w14:paraId="3E8AE2E5">
            <w:pPr>
              <w:widowControl/>
              <w:jc w:val="left"/>
              <w:rPr>
                <w:rFonts w:ascii="宋体" w:hAnsi="宋体" w:cs="宋体"/>
                <w:kern w:val="0"/>
                <w:szCs w:val="21"/>
              </w:rPr>
            </w:pPr>
            <w:r>
              <w:rPr>
                <w:rFonts w:hint="eastAsia" w:ascii="宋体" w:hAnsi="宋体" w:cs="宋体"/>
                <w:kern w:val="0"/>
                <w:szCs w:val="21"/>
              </w:rPr>
              <w:t>项  目</w:t>
            </w:r>
          </w:p>
        </w:tc>
        <w:tc>
          <w:tcPr>
            <w:tcW w:w="6427" w:type="dxa"/>
            <w:tcBorders>
              <w:top w:val="single" w:color="auto" w:sz="4" w:space="0"/>
              <w:left w:val="nil"/>
              <w:bottom w:val="single" w:color="auto" w:sz="4" w:space="0"/>
              <w:right w:val="single" w:color="auto" w:sz="4" w:space="0"/>
            </w:tcBorders>
            <w:vAlign w:val="center"/>
          </w:tcPr>
          <w:p w14:paraId="26F045BB">
            <w:pPr>
              <w:widowControl/>
              <w:jc w:val="left"/>
              <w:rPr>
                <w:rFonts w:ascii="宋体" w:hAnsi="宋体" w:cs="宋体"/>
                <w:kern w:val="0"/>
                <w:szCs w:val="21"/>
              </w:rPr>
            </w:pPr>
            <w:r>
              <w:rPr>
                <w:rFonts w:hint="eastAsia" w:ascii="宋体" w:hAnsi="宋体" w:cs="宋体"/>
                <w:kern w:val="0"/>
                <w:szCs w:val="21"/>
              </w:rPr>
              <w:t>参  数</w:t>
            </w:r>
          </w:p>
        </w:tc>
      </w:tr>
      <w:tr w14:paraId="76418DC4">
        <w:tblPrEx>
          <w:tblCellMar>
            <w:top w:w="0" w:type="dxa"/>
            <w:left w:w="108" w:type="dxa"/>
            <w:bottom w:w="0" w:type="dxa"/>
            <w:right w:w="108" w:type="dxa"/>
          </w:tblCellMar>
        </w:tblPrEx>
        <w:trPr>
          <w:trHeight w:val="309" w:hRule="atLeast"/>
        </w:trPr>
        <w:tc>
          <w:tcPr>
            <w:tcW w:w="702" w:type="dxa"/>
            <w:tcBorders>
              <w:top w:val="nil"/>
              <w:left w:val="single" w:color="auto" w:sz="4" w:space="0"/>
              <w:bottom w:val="single" w:color="auto" w:sz="4" w:space="0"/>
              <w:right w:val="single" w:color="auto" w:sz="4" w:space="0"/>
            </w:tcBorders>
            <w:vAlign w:val="center"/>
          </w:tcPr>
          <w:p w14:paraId="02CBD06C">
            <w:pPr>
              <w:widowControl/>
              <w:jc w:val="center"/>
              <w:rPr>
                <w:rFonts w:ascii="宋体" w:hAnsi="宋体" w:cs="宋体"/>
                <w:kern w:val="0"/>
                <w:szCs w:val="21"/>
              </w:rPr>
            </w:pPr>
            <w:r>
              <w:rPr>
                <w:rFonts w:hint="eastAsia" w:ascii="宋体" w:hAnsi="宋体" w:cs="宋体"/>
                <w:kern w:val="0"/>
                <w:szCs w:val="21"/>
              </w:rPr>
              <w:t>1</w:t>
            </w:r>
          </w:p>
        </w:tc>
        <w:tc>
          <w:tcPr>
            <w:tcW w:w="1211" w:type="dxa"/>
            <w:tcBorders>
              <w:top w:val="nil"/>
              <w:left w:val="nil"/>
              <w:bottom w:val="single" w:color="auto" w:sz="4" w:space="0"/>
              <w:right w:val="single" w:color="auto" w:sz="4" w:space="0"/>
            </w:tcBorders>
            <w:vAlign w:val="center"/>
          </w:tcPr>
          <w:p w14:paraId="5882FCD1">
            <w:pPr>
              <w:widowControl/>
              <w:jc w:val="left"/>
              <w:rPr>
                <w:rFonts w:ascii="宋体" w:hAnsi="宋体" w:cs="宋体"/>
                <w:kern w:val="0"/>
                <w:szCs w:val="21"/>
              </w:rPr>
            </w:pPr>
            <w:r>
              <w:rPr>
                <w:rFonts w:hint="eastAsia" w:ascii="宋体" w:hAnsi="宋体" w:cs="宋体"/>
                <w:kern w:val="0"/>
                <w:szCs w:val="21"/>
              </w:rPr>
              <w:t>像素点间距</w:t>
            </w:r>
          </w:p>
        </w:tc>
        <w:tc>
          <w:tcPr>
            <w:tcW w:w="6427" w:type="dxa"/>
            <w:tcBorders>
              <w:top w:val="single" w:color="auto" w:sz="4" w:space="0"/>
              <w:left w:val="nil"/>
              <w:bottom w:val="single" w:color="auto" w:sz="4" w:space="0"/>
              <w:right w:val="single" w:color="auto" w:sz="4" w:space="0"/>
            </w:tcBorders>
            <w:vAlign w:val="center"/>
          </w:tcPr>
          <w:p w14:paraId="2634CE11">
            <w:pPr>
              <w:widowControl/>
              <w:jc w:val="left"/>
              <w:rPr>
                <w:rFonts w:ascii="宋体" w:hAnsi="宋体" w:cs="宋体"/>
                <w:kern w:val="0"/>
                <w:szCs w:val="21"/>
              </w:rPr>
            </w:pPr>
            <w:r>
              <w:rPr>
                <w:rFonts w:hint="eastAsia" w:ascii="宋体" w:hAnsi="宋体" w:cs="宋体"/>
                <w:kern w:val="0"/>
                <w:szCs w:val="21"/>
                <w:lang w:val="en-US" w:eastAsia="zh-CN"/>
              </w:rPr>
              <w:t>1.5</w:t>
            </w:r>
            <w:r>
              <w:rPr>
                <w:rFonts w:hint="eastAsia" w:ascii="宋体" w:hAnsi="宋体" w:cs="宋体"/>
                <w:kern w:val="0"/>
                <w:szCs w:val="21"/>
              </w:rPr>
              <w:t>mm</w:t>
            </w:r>
          </w:p>
        </w:tc>
      </w:tr>
      <w:tr w14:paraId="2A1ED1ED">
        <w:tblPrEx>
          <w:tblCellMar>
            <w:top w:w="0" w:type="dxa"/>
            <w:left w:w="108" w:type="dxa"/>
            <w:bottom w:w="0" w:type="dxa"/>
            <w:right w:w="108" w:type="dxa"/>
          </w:tblCellMar>
        </w:tblPrEx>
        <w:trPr>
          <w:trHeight w:val="309" w:hRule="atLeast"/>
        </w:trPr>
        <w:tc>
          <w:tcPr>
            <w:tcW w:w="702" w:type="dxa"/>
            <w:tcBorders>
              <w:top w:val="nil"/>
              <w:left w:val="single" w:color="auto" w:sz="4" w:space="0"/>
              <w:bottom w:val="single" w:color="auto" w:sz="4" w:space="0"/>
              <w:right w:val="single" w:color="auto" w:sz="4" w:space="0"/>
            </w:tcBorders>
            <w:vAlign w:val="center"/>
          </w:tcPr>
          <w:p w14:paraId="58948C9C">
            <w:pPr>
              <w:widowControl/>
              <w:jc w:val="center"/>
              <w:rPr>
                <w:rFonts w:ascii="宋体" w:hAnsi="宋体" w:cs="宋体"/>
                <w:kern w:val="0"/>
                <w:szCs w:val="21"/>
              </w:rPr>
            </w:pPr>
            <w:r>
              <w:rPr>
                <w:rFonts w:hint="eastAsia" w:ascii="宋体" w:hAnsi="宋体" w:cs="宋体"/>
                <w:kern w:val="0"/>
                <w:szCs w:val="21"/>
              </w:rPr>
              <w:t>2</w:t>
            </w:r>
          </w:p>
        </w:tc>
        <w:tc>
          <w:tcPr>
            <w:tcW w:w="1211" w:type="dxa"/>
            <w:tcBorders>
              <w:top w:val="nil"/>
              <w:left w:val="nil"/>
              <w:bottom w:val="single" w:color="auto" w:sz="4" w:space="0"/>
              <w:right w:val="single" w:color="auto" w:sz="4" w:space="0"/>
            </w:tcBorders>
            <w:vAlign w:val="center"/>
          </w:tcPr>
          <w:p w14:paraId="468BEBAA">
            <w:pPr>
              <w:widowControl/>
              <w:jc w:val="left"/>
              <w:rPr>
                <w:rFonts w:ascii="宋体" w:hAnsi="宋体" w:cs="宋体"/>
                <w:kern w:val="0"/>
                <w:szCs w:val="21"/>
              </w:rPr>
            </w:pPr>
            <w:r>
              <w:rPr>
                <w:rFonts w:hint="eastAsia" w:ascii="宋体" w:hAnsi="宋体" w:cs="宋体"/>
                <w:kern w:val="0"/>
                <w:szCs w:val="21"/>
              </w:rPr>
              <w:t>像素密度</w:t>
            </w:r>
          </w:p>
        </w:tc>
        <w:tc>
          <w:tcPr>
            <w:tcW w:w="6427" w:type="dxa"/>
            <w:tcBorders>
              <w:top w:val="single" w:color="auto" w:sz="4" w:space="0"/>
              <w:left w:val="nil"/>
              <w:bottom w:val="single" w:color="auto" w:sz="4" w:space="0"/>
              <w:right w:val="single" w:color="auto" w:sz="4" w:space="0"/>
            </w:tcBorders>
            <w:vAlign w:val="center"/>
          </w:tcPr>
          <w:p w14:paraId="6F3049EB">
            <w:pPr>
              <w:widowControl/>
              <w:jc w:val="left"/>
              <w:rPr>
                <w:rFonts w:ascii="宋体" w:hAnsi="宋体" w:cs="宋体"/>
                <w:kern w:val="0"/>
                <w:szCs w:val="21"/>
              </w:rPr>
            </w:pPr>
            <w:r>
              <w:rPr>
                <w:rFonts w:hint="eastAsia" w:ascii="宋体" w:hAnsi="宋体" w:cs="宋体"/>
                <w:kern w:val="0"/>
                <w:szCs w:val="21"/>
                <w:lang w:val="en-US" w:eastAsia="zh-CN"/>
              </w:rPr>
              <w:t>422500Dots/m2</w:t>
            </w:r>
          </w:p>
        </w:tc>
      </w:tr>
      <w:tr w14:paraId="7668ACC2">
        <w:tblPrEx>
          <w:tblCellMar>
            <w:top w:w="0" w:type="dxa"/>
            <w:left w:w="108" w:type="dxa"/>
            <w:bottom w:w="0" w:type="dxa"/>
            <w:right w:w="108" w:type="dxa"/>
          </w:tblCellMar>
        </w:tblPrEx>
        <w:trPr>
          <w:trHeight w:val="309" w:hRule="atLeast"/>
        </w:trPr>
        <w:tc>
          <w:tcPr>
            <w:tcW w:w="702" w:type="dxa"/>
            <w:tcBorders>
              <w:top w:val="nil"/>
              <w:left w:val="single" w:color="auto" w:sz="4" w:space="0"/>
              <w:bottom w:val="single" w:color="auto" w:sz="4" w:space="0"/>
              <w:right w:val="single" w:color="auto" w:sz="4" w:space="0"/>
            </w:tcBorders>
            <w:vAlign w:val="center"/>
          </w:tcPr>
          <w:p w14:paraId="7B798E37">
            <w:pPr>
              <w:widowControl/>
              <w:jc w:val="center"/>
              <w:rPr>
                <w:rFonts w:ascii="宋体" w:hAnsi="宋体" w:cs="宋体"/>
                <w:kern w:val="0"/>
                <w:szCs w:val="21"/>
              </w:rPr>
            </w:pPr>
            <w:r>
              <w:rPr>
                <w:rFonts w:hint="eastAsia" w:ascii="宋体" w:hAnsi="宋体" w:cs="宋体"/>
                <w:kern w:val="0"/>
                <w:szCs w:val="21"/>
              </w:rPr>
              <w:t>3</w:t>
            </w:r>
          </w:p>
        </w:tc>
        <w:tc>
          <w:tcPr>
            <w:tcW w:w="1211" w:type="dxa"/>
            <w:tcBorders>
              <w:top w:val="nil"/>
              <w:left w:val="nil"/>
              <w:bottom w:val="single" w:color="auto" w:sz="4" w:space="0"/>
              <w:right w:val="single" w:color="auto" w:sz="4" w:space="0"/>
            </w:tcBorders>
            <w:vAlign w:val="center"/>
          </w:tcPr>
          <w:p w14:paraId="731F2797">
            <w:pPr>
              <w:widowControl/>
              <w:jc w:val="left"/>
              <w:rPr>
                <w:rFonts w:ascii="宋体" w:hAnsi="宋体" w:cs="宋体"/>
                <w:kern w:val="0"/>
                <w:szCs w:val="21"/>
              </w:rPr>
            </w:pPr>
            <w:r>
              <w:rPr>
                <w:rFonts w:hint="eastAsia" w:ascii="宋体" w:hAnsi="宋体" w:cs="宋体"/>
                <w:kern w:val="0"/>
                <w:szCs w:val="21"/>
              </w:rPr>
              <w:t>亮度</w:t>
            </w:r>
          </w:p>
        </w:tc>
        <w:tc>
          <w:tcPr>
            <w:tcW w:w="6427" w:type="dxa"/>
            <w:tcBorders>
              <w:top w:val="single" w:color="auto" w:sz="4" w:space="0"/>
              <w:left w:val="nil"/>
              <w:bottom w:val="single" w:color="auto" w:sz="4" w:space="0"/>
              <w:right w:val="single" w:color="auto" w:sz="4" w:space="0"/>
            </w:tcBorders>
            <w:vAlign w:val="center"/>
          </w:tcPr>
          <w:p w14:paraId="26AEC07D">
            <w:pPr>
              <w:widowControl/>
              <w:jc w:val="left"/>
              <w:rPr>
                <w:rFonts w:ascii="宋体" w:hAnsi="宋体" w:cs="宋体"/>
                <w:kern w:val="0"/>
                <w:szCs w:val="21"/>
              </w:rPr>
            </w:pPr>
            <w:r>
              <w:rPr>
                <w:rFonts w:hint="eastAsia" w:ascii="宋体" w:hAnsi="宋体" w:cs="宋体"/>
                <w:kern w:val="0"/>
                <w:szCs w:val="21"/>
              </w:rPr>
              <w:t>0-700cd/㎡可调</w:t>
            </w:r>
          </w:p>
        </w:tc>
      </w:tr>
      <w:tr w14:paraId="41990BBE">
        <w:tblPrEx>
          <w:tblCellMar>
            <w:top w:w="0" w:type="dxa"/>
            <w:left w:w="108" w:type="dxa"/>
            <w:bottom w:w="0" w:type="dxa"/>
            <w:right w:w="108" w:type="dxa"/>
          </w:tblCellMar>
        </w:tblPrEx>
        <w:trPr>
          <w:trHeight w:val="309" w:hRule="atLeast"/>
        </w:trPr>
        <w:tc>
          <w:tcPr>
            <w:tcW w:w="8340" w:type="dxa"/>
            <w:gridSpan w:val="3"/>
            <w:tcBorders>
              <w:top w:val="single" w:color="auto" w:sz="4" w:space="0"/>
              <w:left w:val="single" w:color="auto" w:sz="4" w:space="0"/>
              <w:bottom w:val="single" w:color="auto" w:sz="4" w:space="0"/>
              <w:right w:val="single" w:color="auto" w:sz="4" w:space="0"/>
            </w:tcBorders>
            <w:vAlign w:val="center"/>
          </w:tcPr>
          <w:p w14:paraId="2154C265">
            <w:pPr>
              <w:widowControl/>
              <w:jc w:val="left"/>
              <w:rPr>
                <w:rFonts w:ascii="宋体" w:hAnsi="宋体" w:cs="宋体"/>
                <w:kern w:val="0"/>
                <w:szCs w:val="21"/>
              </w:rPr>
            </w:pPr>
            <w:r>
              <w:rPr>
                <w:rFonts w:hint="eastAsia" w:ascii="宋体" w:hAnsi="宋体" w:cs="宋体"/>
                <w:kern w:val="0"/>
                <w:szCs w:val="21"/>
              </w:rPr>
              <w:t>（3）屏体技术参数</w:t>
            </w:r>
          </w:p>
        </w:tc>
      </w:tr>
      <w:tr w14:paraId="3378367A">
        <w:tblPrEx>
          <w:tblCellMar>
            <w:top w:w="0" w:type="dxa"/>
            <w:left w:w="108" w:type="dxa"/>
            <w:bottom w:w="0" w:type="dxa"/>
            <w:right w:w="108" w:type="dxa"/>
          </w:tblCellMar>
        </w:tblPrEx>
        <w:trPr>
          <w:trHeight w:val="338"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137EAF59">
            <w:pPr>
              <w:widowControl/>
              <w:jc w:val="left"/>
              <w:rPr>
                <w:rFonts w:ascii="宋体" w:hAnsi="宋体" w:cs="宋体"/>
                <w:kern w:val="0"/>
                <w:szCs w:val="21"/>
              </w:rPr>
            </w:pPr>
            <w:r>
              <w:rPr>
                <w:rFonts w:hint="eastAsia" w:ascii="宋体" w:hAnsi="宋体" w:cs="宋体"/>
                <w:kern w:val="0"/>
                <w:szCs w:val="21"/>
              </w:rPr>
              <w:t>模组尺寸</w:t>
            </w:r>
          </w:p>
        </w:tc>
        <w:tc>
          <w:tcPr>
            <w:tcW w:w="6427" w:type="dxa"/>
            <w:tcBorders>
              <w:top w:val="single" w:color="auto" w:sz="4" w:space="0"/>
              <w:left w:val="nil"/>
              <w:bottom w:val="single" w:color="auto" w:sz="4" w:space="0"/>
              <w:right w:val="single" w:color="auto" w:sz="4" w:space="0"/>
            </w:tcBorders>
            <w:vAlign w:val="center"/>
          </w:tcPr>
          <w:p w14:paraId="2CCB09EE">
            <w:pPr>
              <w:widowControl/>
              <w:jc w:val="left"/>
              <w:rPr>
                <w:rFonts w:ascii="宋体" w:hAnsi="宋体" w:cs="宋体"/>
                <w:kern w:val="0"/>
                <w:szCs w:val="21"/>
              </w:rPr>
            </w:pPr>
            <w:r>
              <w:rPr>
                <w:rFonts w:hint="eastAsia" w:ascii="宋体" w:hAnsi="宋体" w:cs="宋体"/>
                <w:kern w:val="0"/>
                <w:szCs w:val="21"/>
                <w:lang w:val="en-US" w:eastAsia="zh-CN"/>
              </w:rPr>
              <w:t>320</w:t>
            </w:r>
            <w:r>
              <w:rPr>
                <w:rFonts w:hint="eastAsia" w:ascii="宋体" w:hAnsi="宋体" w:cs="宋体"/>
                <w:kern w:val="0"/>
                <w:szCs w:val="21"/>
              </w:rPr>
              <w:t>mm*1</w:t>
            </w:r>
            <w:r>
              <w:rPr>
                <w:rFonts w:hint="eastAsia" w:ascii="宋体" w:hAnsi="宋体" w:cs="宋体"/>
                <w:kern w:val="0"/>
                <w:szCs w:val="21"/>
                <w:lang w:val="en-US" w:eastAsia="zh-CN"/>
              </w:rPr>
              <w:t>60</w:t>
            </w:r>
            <w:r>
              <w:rPr>
                <w:rFonts w:hint="eastAsia" w:ascii="宋体" w:hAnsi="宋体" w:cs="宋体"/>
                <w:kern w:val="0"/>
                <w:szCs w:val="21"/>
              </w:rPr>
              <w:t>mm</w:t>
            </w:r>
          </w:p>
        </w:tc>
      </w:tr>
      <w:tr w14:paraId="3F2E7E64">
        <w:tblPrEx>
          <w:tblCellMar>
            <w:top w:w="0" w:type="dxa"/>
            <w:left w:w="108" w:type="dxa"/>
            <w:bottom w:w="0" w:type="dxa"/>
            <w:right w:w="108" w:type="dxa"/>
          </w:tblCellMar>
        </w:tblPrEx>
        <w:trPr>
          <w:trHeight w:val="330"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09F2F16C">
            <w:pPr>
              <w:widowControl/>
              <w:jc w:val="left"/>
              <w:rPr>
                <w:rFonts w:ascii="宋体" w:hAnsi="宋体" w:cs="宋体"/>
                <w:kern w:val="0"/>
                <w:szCs w:val="21"/>
              </w:rPr>
            </w:pPr>
            <w:r>
              <w:rPr>
                <w:rFonts w:hint="eastAsia" w:ascii="宋体" w:hAnsi="宋体" w:cs="宋体"/>
                <w:kern w:val="0"/>
                <w:szCs w:val="21"/>
              </w:rPr>
              <w:t>屏体显示尺寸</w:t>
            </w:r>
          </w:p>
        </w:tc>
        <w:tc>
          <w:tcPr>
            <w:tcW w:w="6427" w:type="dxa"/>
            <w:tcBorders>
              <w:top w:val="single" w:color="auto" w:sz="4" w:space="0"/>
              <w:left w:val="nil"/>
              <w:bottom w:val="single" w:color="auto" w:sz="4" w:space="0"/>
              <w:right w:val="single" w:color="auto" w:sz="4" w:space="0"/>
            </w:tcBorders>
            <w:vAlign w:val="center"/>
          </w:tcPr>
          <w:p w14:paraId="5EED41B6">
            <w:pPr>
              <w:widowControl/>
              <w:jc w:val="left"/>
              <w:rPr>
                <w:rFonts w:ascii="宋体" w:hAnsi="宋体" w:cs="宋体"/>
                <w:kern w:val="0"/>
                <w:szCs w:val="21"/>
              </w:rPr>
            </w:pPr>
            <w:r>
              <w:rPr>
                <w:rFonts w:hint="eastAsia" w:ascii="宋体" w:hAnsi="宋体" w:cs="宋体"/>
                <w:kern w:val="0"/>
                <w:szCs w:val="21"/>
              </w:rPr>
              <w:t>长</w:t>
            </w:r>
            <w:r>
              <w:rPr>
                <w:rFonts w:hint="eastAsia" w:ascii="宋体" w:hAnsi="宋体" w:cs="宋体"/>
                <w:kern w:val="0"/>
                <w:szCs w:val="21"/>
                <w:lang w:val="en-US" w:eastAsia="zh-CN"/>
              </w:rPr>
              <w:t>4.16</w:t>
            </w:r>
            <w:r>
              <w:rPr>
                <w:rFonts w:hint="eastAsia" w:ascii="宋体" w:hAnsi="宋体" w:cs="宋体"/>
                <w:kern w:val="0"/>
                <w:szCs w:val="21"/>
              </w:rPr>
              <w:t>m×高2.</w:t>
            </w:r>
            <w:r>
              <w:rPr>
                <w:rFonts w:hint="eastAsia" w:ascii="宋体" w:hAnsi="宋体" w:cs="宋体"/>
                <w:kern w:val="0"/>
                <w:szCs w:val="21"/>
                <w:lang w:val="en-US" w:eastAsia="zh-CN"/>
              </w:rPr>
              <w:t>24</w:t>
            </w:r>
            <w:r>
              <w:rPr>
                <w:rFonts w:hint="eastAsia" w:ascii="宋体" w:hAnsi="宋体" w:cs="宋体"/>
                <w:kern w:val="0"/>
                <w:szCs w:val="21"/>
              </w:rPr>
              <w:t>m</w:t>
            </w:r>
            <w:r>
              <w:rPr>
                <w:rFonts w:hint="eastAsia" w:ascii="宋体" w:hAnsi="宋体"/>
                <w:kern w:val="0"/>
                <w:szCs w:val="21"/>
              </w:rPr>
              <w:t xml:space="preserve">= </w:t>
            </w:r>
            <w:r>
              <w:rPr>
                <w:rFonts w:hint="eastAsia" w:ascii="宋体" w:hAnsi="宋体"/>
                <w:kern w:val="0"/>
                <w:szCs w:val="21"/>
                <w:lang w:val="en-US" w:eastAsia="zh-CN"/>
              </w:rPr>
              <w:t>9.3184</w:t>
            </w:r>
            <w:r>
              <w:rPr>
                <w:rFonts w:hint="eastAsia" w:ascii="宋体" w:hAnsi="宋体"/>
                <w:kern w:val="0"/>
                <w:szCs w:val="21"/>
              </w:rPr>
              <w:t xml:space="preserve"> M</w:t>
            </w:r>
            <w:r>
              <w:rPr>
                <w:rFonts w:hint="eastAsia" w:ascii="宋体" w:hAnsi="宋体"/>
                <w:kern w:val="0"/>
                <w:szCs w:val="21"/>
                <w:vertAlign w:val="superscript"/>
              </w:rPr>
              <w:t>2</w:t>
            </w:r>
          </w:p>
        </w:tc>
      </w:tr>
      <w:tr w14:paraId="3022FCA0">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0F916479">
            <w:pPr>
              <w:widowControl/>
              <w:jc w:val="left"/>
              <w:rPr>
                <w:rFonts w:ascii="宋体" w:hAnsi="宋体" w:cs="宋体"/>
                <w:kern w:val="0"/>
                <w:szCs w:val="21"/>
              </w:rPr>
            </w:pPr>
            <w:r>
              <w:rPr>
                <w:rFonts w:hint="eastAsia" w:ascii="宋体" w:hAnsi="宋体" w:cs="宋体"/>
                <w:kern w:val="0"/>
                <w:szCs w:val="21"/>
              </w:rPr>
              <w:t>单元板分辨率</w:t>
            </w:r>
          </w:p>
        </w:tc>
        <w:tc>
          <w:tcPr>
            <w:tcW w:w="6427" w:type="dxa"/>
            <w:tcBorders>
              <w:top w:val="single" w:color="auto" w:sz="4" w:space="0"/>
              <w:left w:val="nil"/>
              <w:bottom w:val="single" w:color="auto" w:sz="4" w:space="0"/>
              <w:right w:val="single" w:color="auto" w:sz="4" w:space="0"/>
            </w:tcBorders>
            <w:vAlign w:val="center"/>
          </w:tcPr>
          <w:p w14:paraId="179D83E8">
            <w:pPr>
              <w:widowControl/>
              <w:jc w:val="left"/>
              <w:rPr>
                <w:rFonts w:ascii="宋体" w:hAnsi="宋体" w:cs="宋体"/>
                <w:kern w:val="0"/>
                <w:szCs w:val="21"/>
              </w:rPr>
            </w:pPr>
            <w:r>
              <w:rPr>
                <w:rFonts w:hint="eastAsia" w:ascii="宋体" w:hAnsi="宋体" w:cs="宋体"/>
                <w:kern w:val="0"/>
                <w:szCs w:val="21"/>
              </w:rPr>
              <w:t>21632Dots</w:t>
            </w:r>
          </w:p>
        </w:tc>
      </w:tr>
      <w:tr w14:paraId="2A556E9E">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11EF4A83">
            <w:pPr>
              <w:widowControl/>
              <w:jc w:val="left"/>
              <w:rPr>
                <w:rFonts w:ascii="宋体" w:hAnsi="宋体" w:cs="宋体"/>
                <w:kern w:val="0"/>
                <w:szCs w:val="21"/>
              </w:rPr>
            </w:pPr>
            <w:r>
              <w:rPr>
                <w:rFonts w:hint="eastAsia" w:ascii="宋体" w:hAnsi="宋体" w:cs="宋体"/>
                <w:kern w:val="0"/>
                <w:szCs w:val="21"/>
              </w:rPr>
              <w:t>驱动方式</w:t>
            </w:r>
          </w:p>
        </w:tc>
        <w:tc>
          <w:tcPr>
            <w:tcW w:w="6427" w:type="dxa"/>
            <w:tcBorders>
              <w:top w:val="single" w:color="auto" w:sz="4" w:space="0"/>
              <w:left w:val="nil"/>
              <w:bottom w:val="single" w:color="auto" w:sz="4" w:space="0"/>
              <w:right w:val="single" w:color="auto" w:sz="4" w:space="0"/>
            </w:tcBorders>
            <w:vAlign w:val="center"/>
          </w:tcPr>
          <w:p w14:paraId="3D758DF0">
            <w:pPr>
              <w:widowControl/>
              <w:jc w:val="left"/>
              <w:rPr>
                <w:rFonts w:ascii="宋体" w:hAnsi="宋体" w:cs="宋体"/>
                <w:kern w:val="0"/>
                <w:szCs w:val="21"/>
              </w:rPr>
            </w:pPr>
            <w:r>
              <w:rPr>
                <w:rFonts w:hint="eastAsia" w:ascii="宋体" w:hAnsi="宋体" w:cs="宋体"/>
                <w:kern w:val="0"/>
                <w:szCs w:val="21"/>
              </w:rPr>
              <w:t>恒流驱动</w:t>
            </w:r>
          </w:p>
        </w:tc>
      </w:tr>
      <w:tr w14:paraId="47CCAD78">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63E65A37">
            <w:pPr>
              <w:widowControl/>
              <w:jc w:val="left"/>
              <w:rPr>
                <w:rFonts w:ascii="宋体" w:hAnsi="宋体" w:cs="宋体"/>
                <w:kern w:val="0"/>
                <w:szCs w:val="21"/>
              </w:rPr>
            </w:pPr>
            <w:r>
              <w:rPr>
                <w:rFonts w:hint="eastAsia" w:ascii="宋体" w:hAnsi="宋体" w:cs="宋体"/>
                <w:kern w:val="0"/>
                <w:szCs w:val="21"/>
              </w:rPr>
              <w:t>视   角</w:t>
            </w:r>
          </w:p>
        </w:tc>
        <w:tc>
          <w:tcPr>
            <w:tcW w:w="6427" w:type="dxa"/>
            <w:tcBorders>
              <w:top w:val="single" w:color="auto" w:sz="4" w:space="0"/>
              <w:left w:val="nil"/>
              <w:bottom w:val="single" w:color="auto" w:sz="4" w:space="0"/>
              <w:right w:val="single" w:color="auto" w:sz="4" w:space="0"/>
            </w:tcBorders>
            <w:vAlign w:val="center"/>
          </w:tcPr>
          <w:p w14:paraId="29B9C37B">
            <w:pPr>
              <w:widowControl/>
              <w:jc w:val="left"/>
              <w:rPr>
                <w:rFonts w:ascii="宋体" w:hAnsi="宋体" w:cs="宋体"/>
                <w:kern w:val="0"/>
                <w:szCs w:val="21"/>
              </w:rPr>
            </w:pPr>
            <w:r>
              <w:rPr>
                <w:rFonts w:hint="eastAsia" w:ascii="宋体" w:hAnsi="宋体" w:cs="宋体"/>
                <w:kern w:val="0"/>
                <w:szCs w:val="21"/>
              </w:rPr>
              <w:t>水平1</w:t>
            </w:r>
            <w:r>
              <w:rPr>
                <w:rFonts w:hint="eastAsia" w:ascii="宋体" w:hAnsi="宋体" w:cs="宋体"/>
                <w:kern w:val="0"/>
                <w:szCs w:val="21"/>
                <w:lang w:val="en-US" w:eastAsia="zh-CN"/>
              </w:rPr>
              <w:t>60</w:t>
            </w:r>
            <w:r>
              <w:rPr>
                <w:rFonts w:hint="eastAsia" w:ascii="宋体" w:hAnsi="宋体" w:cs="宋体"/>
                <w:kern w:val="0"/>
                <w:szCs w:val="21"/>
              </w:rPr>
              <w:t>度，垂直</w:t>
            </w:r>
            <w:r>
              <w:rPr>
                <w:rFonts w:hint="eastAsia" w:ascii="宋体" w:hAnsi="宋体" w:cs="宋体"/>
                <w:kern w:val="0"/>
                <w:szCs w:val="21"/>
                <w:lang w:val="en-US" w:eastAsia="zh-CN"/>
              </w:rPr>
              <w:t>160</w:t>
            </w:r>
            <w:r>
              <w:rPr>
                <w:rFonts w:hint="eastAsia" w:ascii="宋体" w:hAnsi="宋体" w:cs="宋体"/>
                <w:kern w:val="0"/>
                <w:szCs w:val="21"/>
              </w:rPr>
              <w:t>度</w:t>
            </w:r>
          </w:p>
        </w:tc>
      </w:tr>
      <w:tr w14:paraId="68232691">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39805097">
            <w:pPr>
              <w:widowControl/>
              <w:jc w:val="left"/>
              <w:rPr>
                <w:rFonts w:ascii="宋体" w:hAnsi="宋体" w:cs="宋体"/>
                <w:kern w:val="0"/>
                <w:szCs w:val="21"/>
              </w:rPr>
            </w:pPr>
            <w:r>
              <w:rPr>
                <w:rFonts w:hint="eastAsia" w:ascii="宋体" w:hAnsi="宋体" w:cs="宋体"/>
                <w:kern w:val="0"/>
                <w:szCs w:val="21"/>
              </w:rPr>
              <w:t>显示颜色</w:t>
            </w:r>
          </w:p>
        </w:tc>
        <w:tc>
          <w:tcPr>
            <w:tcW w:w="6427" w:type="dxa"/>
            <w:tcBorders>
              <w:top w:val="single" w:color="auto" w:sz="4" w:space="0"/>
              <w:left w:val="nil"/>
              <w:bottom w:val="single" w:color="auto" w:sz="4" w:space="0"/>
              <w:right w:val="single" w:color="auto" w:sz="4" w:space="0"/>
            </w:tcBorders>
            <w:vAlign w:val="center"/>
          </w:tcPr>
          <w:p w14:paraId="3C276201">
            <w:pPr>
              <w:widowControl/>
              <w:jc w:val="left"/>
              <w:rPr>
                <w:rFonts w:ascii="宋体" w:hAnsi="宋体" w:cs="宋体"/>
                <w:kern w:val="0"/>
                <w:szCs w:val="21"/>
              </w:rPr>
            </w:pPr>
            <w:r>
              <w:rPr>
                <w:rFonts w:hint="eastAsia" w:ascii="宋体" w:hAnsi="宋体" w:cs="宋体"/>
                <w:kern w:val="0"/>
                <w:szCs w:val="21"/>
              </w:rPr>
              <w:t>≥281.4trillion，支持BT.2020/DC.P3/BT.709/SRGB等多种色域转换</w:t>
            </w:r>
          </w:p>
        </w:tc>
      </w:tr>
      <w:tr w14:paraId="4BF5692F">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18DAF107">
            <w:pPr>
              <w:widowControl/>
              <w:jc w:val="left"/>
              <w:rPr>
                <w:rFonts w:ascii="宋体" w:hAnsi="宋体" w:cs="宋体"/>
                <w:kern w:val="0"/>
                <w:szCs w:val="21"/>
              </w:rPr>
            </w:pPr>
            <w:r>
              <w:rPr>
                <w:rFonts w:hint="eastAsia" w:ascii="宋体" w:hAnsi="宋体" w:cs="宋体"/>
                <w:kern w:val="0"/>
                <w:szCs w:val="21"/>
              </w:rPr>
              <w:t>换帧频率</w:t>
            </w:r>
          </w:p>
        </w:tc>
        <w:tc>
          <w:tcPr>
            <w:tcW w:w="6427" w:type="dxa"/>
            <w:tcBorders>
              <w:top w:val="single" w:color="auto" w:sz="4" w:space="0"/>
              <w:left w:val="nil"/>
              <w:bottom w:val="single" w:color="auto" w:sz="4" w:space="0"/>
              <w:right w:val="single" w:color="auto" w:sz="4" w:space="0"/>
            </w:tcBorders>
            <w:vAlign w:val="center"/>
          </w:tcPr>
          <w:p w14:paraId="429DEC23">
            <w:pPr>
              <w:widowControl/>
              <w:jc w:val="left"/>
              <w:rPr>
                <w:rFonts w:ascii="宋体" w:hAnsi="宋体" w:cs="宋体"/>
                <w:kern w:val="0"/>
                <w:szCs w:val="21"/>
              </w:rPr>
            </w:pPr>
            <w:r>
              <w:rPr>
                <w:rFonts w:hint="eastAsia" w:ascii="宋体" w:hAnsi="宋体" w:cs="宋体"/>
                <w:kern w:val="0"/>
                <w:szCs w:val="21"/>
              </w:rPr>
              <w:t>50&amp;60Hz</w:t>
            </w:r>
          </w:p>
        </w:tc>
      </w:tr>
      <w:tr w14:paraId="689D2A37">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64DFC72F">
            <w:pPr>
              <w:widowControl/>
              <w:jc w:val="left"/>
              <w:rPr>
                <w:rFonts w:ascii="宋体" w:hAnsi="宋体" w:cs="宋体"/>
                <w:kern w:val="0"/>
                <w:szCs w:val="21"/>
              </w:rPr>
            </w:pPr>
            <w:r>
              <w:rPr>
                <w:rFonts w:hint="eastAsia" w:ascii="宋体" w:hAnsi="宋体" w:cs="宋体"/>
                <w:kern w:val="0"/>
                <w:szCs w:val="21"/>
              </w:rPr>
              <w:t>刷新率</w:t>
            </w:r>
          </w:p>
        </w:tc>
        <w:tc>
          <w:tcPr>
            <w:tcW w:w="6427" w:type="dxa"/>
            <w:tcBorders>
              <w:top w:val="single" w:color="auto" w:sz="4" w:space="0"/>
              <w:left w:val="nil"/>
              <w:bottom w:val="single" w:color="auto" w:sz="4" w:space="0"/>
              <w:right w:val="single" w:color="auto" w:sz="4" w:space="0"/>
            </w:tcBorders>
            <w:vAlign w:val="center"/>
          </w:tcPr>
          <w:p w14:paraId="69827B5F">
            <w:pPr>
              <w:widowControl/>
              <w:jc w:val="left"/>
              <w:rPr>
                <w:rFonts w:ascii="宋体" w:hAnsi="宋体" w:cs="宋体"/>
                <w:kern w:val="0"/>
                <w:szCs w:val="21"/>
              </w:rPr>
            </w:pPr>
            <w:r>
              <w:rPr>
                <w:rFonts w:hint="eastAsia" w:ascii="宋体" w:hAnsi="宋体" w:cs="宋体"/>
                <w:kern w:val="0"/>
                <w:szCs w:val="21"/>
              </w:rPr>
              <w:t>≥3840Hz，支持通过配套控制软件调节刷新率设置选项</w:t>
            </w:r>
          </w:p>
        </w:tc>
      </w:tr>
      <w:tr w14:paraId="1864E999">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7DA991B2">
            <w:pPr>
              <w:widowControl/>
              <w:jc w:val="left"/>
              <w:rPr>
                <w:rFonts w:ascii="宋体" w:hAnsi="宋体" w:cs="宋体"/>
                <w:kern w:val="0"/>
                <w:szCs w:val="21"/>
              </w:rPr>
            </w:pPr>
            <w:r>
              <w:rPr>
                <w:rFonts w:hint="eastAsia" w:ascii="宋体" w:hAnsi="宋体" w:cs="宋体"/>
                <w:kern w:val="0"/>
                <w:szCs w:val="21"/>
              </w:rPr>
              <w:t>使用寿命</w:t>
            </w:r>
          </w:p>
        </w:tc>
        <w:tc>
          <w:tcPr>
            <w:tcW w:w="6427" w:type="dxa"/>
            <w:tcBorders>
              <w:top w:val="single" w:color="auto" w:sz="4" w:space="0"/>
              <w:left w:val="nil"/>
              <w:bottom w:val="single" w:color="auto" w:sz="4" w:space="0"/>
              <w:right w:val="single" w:color="auto" w:sz="4" w:space="0"/>
            </w:tcBorders>
            <w:vAlign w:val="center"/>
          </w:tcPr>
          <w:p w14:paraId="23065536">
            <w:pPr>
              <w:widowControl/>
              <w:jc w:val="left"/>
              <w:rPr>
                <w:rFonts w:ascii="宋体" w:hAnsi="宋体" w:cs="宋体"/>
                <w:kern w:val="0"/>
                <w:sz w:val="18"/>
                <w:szCs w:val="18"/>
              </w:rPr>
            </w:pPr>
            <w:r>
              <w:rPr>
                <w:rFonts w:hint="eastAsia" w:ascii="宋体" w:hAnsi="宋体" w:cs="宋体"/>
                <w:kern w:val="0"/>
                <w:szCs w:val="21"/>
              </w:rPr>
              <w:t>≥10万小时</w:t>
            </w:r>
          </w:p>
        </w:tc>
      </w:tr>
      <w:tr w14:paraId="399CD2E0">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0FF7E180">
            <w:pPr>
              <w:widowControl/>
              <w:jc w:val="left"/>
              <w:rPr>
                <w:rFonts w:ascii="宋体" w:hAnsi="宋体" w:cs="宋体"/>
                <w:kern w:val="0"/>
                <w:szCs w:val="21"/>
              </w:rPr>
            </w:pPr>
            <w:r>
              <w:rPr>
                <w:rFonts w:hint="eastAsia" w:ascii="宋体" w:hAnsi="宋体" w:cs="宋体"/>
                <w:kern w:val="0"/>
                <w:szCs w:val="21"/>
              </w:rPr>
              <w:t>平均失效间隔时间</w:t>
            </w:r>
          </w:p>
        </w:tc>
        <w:tc>
          <w:tcPr>
            <w:tcW w:w="6427" w:type="dxa"/>
            <w:tcBorders>
              <w:top w:val="single" w:color="auto" w:sz="4" w:space="0"/>
              <w:left w:val="nil"/>
              <w:bottom w:val="single" w:color="auto" w:sz="4" w:space="0"/>
              <w:right w:val="single" w:color="auto" w:sz="4" w:space="0"/>
            </w:tcBorders>
            <w:vAlign w:val="center"/>
          </w:tcPr>
          <w:p w14:paraId="6D9FB66C">
            <w:pPr>
              <w:widowControl/>
              <w:jc w:val="left"/>
              <w:rPr>
                <w:rFonts w:ascii="宋体" w:hAnsi="宋体" w:cs="宋体"/>
                <w:kern w:val="0"/>
                <w:szCs w:val="21"/>
              </w:rPr>
            </w:pPr>
            <w:r>
              <w:rPr>
                <w:rFonts w:hint="eastAsia" w:ascii="宋体" w:hAnsi="宋体" w:cs="宋体"/>
                <w:kern w:val="0"/>
                <w:szCs w:val="21"/>
              </w:rPr>
              <w:t>≥100000h</w:t>
            </w:r>
          </w:p>
        </w:tc>
      </w:tr>
      <w:tr w14:paraId="3AD17865">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22796815">
            <w:pPr>
              <w:widowControl/>
              <w:jc w:val="left"/>
              <w:rPr>
                <w:rFonts w:ascii="宋体" w:hAnsi="宋体" w:cs="宋体"/>
                <w:kern w:val="0"/>
                <w:szCs w:val="21"/>
              </w:rPr>
            </w:pPr>
            <w:r>
              <w:rPr>
                <w:rFonts w:hint="eastAsia" w:ascii="宋体" w:hAnsi="宋体" w:cs="宋体"/>
                <w:kern w:val="0"/>
                <w:szCs w:val="21"/>
              </w:rPr>
              <w:t>控制方式</w:t>
            </w:r>
          </w:p>
        </w:tc>
        <w:tc>
          <w:tcPr>
            <w:tcW w:w="6427" w:type="dxa"/>
            <w:tcBorders>
              <w:top w:val="single" w:color="auto" w:sz="4" w:space="0"/>
              <w:left w:val="nil"/>
              <w:bottom w:val="single" w:color="auto" w:sz="4" w:space="0"/>
              <w:right w:val="single" w:color="auto" w:sz="4" w:space="0"/>
            </w:tcBorders>
            <w:vAlign w:val="center"/>
          </w:tcPr>
          <w:p w14:paraId="27FC0FA1">
            <w:pPr>
              <w:widowControl/>
              <w:jc w:val="left"/>
              <w:rPr>
                <w:rFonts w:ascii="宋体" w:hAnsi="宋体" w:cs="宋体"/>
                <w:kern w:val="0"/>
                <w:szCs w:val="21"/>
              </w:rPr>
            </w:pPr>
            <w:r>
              <w:rPr>
                <w:rFonts w:hint="eastAsia" w:ascii="宋体" w:hAnsi="宋体"/>
                <w:szCs w:val="21"/>
              </w:rPr>
              <w:t>同步控制系统</w:t>
            </w:r>
          </w:p>
        </w:tc>
      </w:tr>
      <w:tr w14:paraId="25E667BE">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54B452D1">
            <w:pPr>
              <w:widowControl/>
              <w:jc w:val="left"/>
              <w:rPr>
                <w:rFonts w:ascii="宋体" w:hAnsi="宋体" w:cs="宋体"/>
                <w:kern w:val="0"/>
                <w:szCs w:val="21"/>
              </w:rPr>
            </w:pPr>
            <w:r>
              <w:rPr>
                <w:rFonts w:hint="eastAsia" w:ascii="宋体" w:hAnsi="宋体"/>
                <w:bCs/>
                <w:szCs w:val="21"/>
              </w:rPr>
              <w:t>维护方式</w:t>
            </w:r>
          </w:p>
        </w:tc>
        <w:tc>
          <w:tcPr>
            <w:tcW w:w="6427" w:type="dxa"/>
            <w:tcBorders>
              <w:top w:val="single" w:color="auto" w:sz="4" w:space="0"/>
              <w:left w:val="nil"/>
              <w:bottom w:val="single" w:color="auto" w:sz="4" w:space="0"/>
              <w:right w:val="single" w:color="auto" w:sz="4" w:space="0"/>
            </w:tcBorders>
            <w:vAlign w:val="center"/>
          </w:tcPr>
          <w:p w14:paraId="18141075">
            <w:pPr>
              <w:widowControl/>
              <w:jc w:val="left"/>
              <w:rPr>
                <w:rFonts w:ascii="宋体" w:hAnsi="宋体" w:cs="宋体"/>
                <w:kern w:val="0"/>
                <w:szCs w:val="21"/>
              </w:rPr>
            </w:pPr>
            <w:r>
              <w:rPr>
                <w:rFonts w:hint="eastAsia" w:ascii="宋体" w:hAnsi="宋体"/>
                <w:bCs/>
                <w:szCs w:val="21"/>
              </w:rPr>
              <w:t>前后双向维护</w:t>
            </w:r>
          </w:p>
        </w:tc>
      </w:tr>
      <w:tr w14:paraId="205DAD65">
        <w:tblPrEx>
          <w:tblCellMar>
            <w:top w:w="0" w:type="dxa"/>
            <w:left w:w="108" w:type="dxa"/>
            <w:bottom w:w="0" w:type="dxa"/>
            <w:right w:w="108" w:type="dxa"/>
          </w:tblCellMar>
        </w:tblPrEx>
        <w:trPr>
          <w:trHeight w:val="508"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49C4D287">
            <w:pPr>
              <w:widowControl/>
              <w:jc w:val="left"/>
              <w:rPr>
                <w:rFonts w:ascii="宋体" w:hAnsi="宋体" w:cs="宋体"/>
                <w:kern w:val="0"/>
                <w:szCs w:val="21"/>
              </w:rPr>
            </w:pPr>
            <w:r>
              <w:rPr>
                <w:rFonts w:hint="eastAsia" w:ascii="宋体" w:hAnsi="宋体"/>
                <w:szCs w:val="21"/>
              </w:rPr>
              <w:t>亮度调节</w:t>
            </w:r>
          </w:p>
        </w:tc>
        <w:tc>
          <w:tcPr>
            <w:tcW w:w="6427" w:type="dxa"/>
            <w:tcBorders>
              <w:top w:val="single" w:color="auto" w:sz="4" w:space="0"/>
              <w:left w:val="nil"/>
              <w:bottom w:val="single" w:color="auto" w:sz="4" w:space="0"/>
              <w:right w:val="single" w:color="auto" w:sz="4" w:space="0"/>
            </w:tcBorders>
            <w:vAlign w:val="center"/>
          </w:tcPr>
          <w:p w14:paraId="5B8EAF93">
            <w:pPr>
              <w:widowControl/>
              <w:jc w:val="left"/>
              <w:rPr>
                <w:rFonts w:ascii="宋体" w:hAnsi="宋体" w:cs="宋体"/>
                <w:kern w:val="0"/>
                <w:szCs w:val="21"/>
              </w:rPr>
            </w:pPr>
            <w:r>
              <w:rPr>
                <w:rFonts w:hint="eastAsia" w:ascii="宋体" w:hAnsi="宋体"/>
                <w:szCs w:val="21"/>
              </w:rPr>
              <w:t>0-100%亮度可调，256级手动/自动调节，屏幕亮度具有随环境照度的变化任意调整功能</w:t>
            </w:r>
          </w:p>
        </w:tc>
      </w:tr>
      <w:tr w14:paraId="4FADDD79">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5616BD00">
            <w:pPr>
              <w:widowControl/>
              <w:jc w:val="left"/>
              <w:rPr>
                <w:rFonts w:ascii="宋体" w:hAnsi="宋体" w:cs="宋体"/>
                <w:kern w:val="0"/>
                <w:szCs w:val="21"/>
              </w:rPr>
            </w:pPr>
            <w:r>
              <w:rPr>
                <w:rFonts w:hint="eastAsia" w:ascii="宋体" w:hAnsi="宋体"/>
                <w:szCs w:val="21"/>
              </w:rPr>
              <w:t>输入信号支持</w:t>
            </w:r>
          </w:p>
        </w:tc>
        <w:tc>
          <w:tcPr>
            <w:tcW w:w="6427" w:type="dxa"/>
            <w:tcBorders>
              <w:top w:val="single" w:color="auto" w:sz="4" w:space="0"/>
              <w:left w:val="nil"/>
              <w:bottom w:val="single" w:color="auto" w:sz="4" w:space="0"/>
              <w:right w:val="single" w:color="auto" w:sz="4" w:space="0"/>
            </w:tcBorders>
            <w:vAlign w:val="center"/>
          </w:tcPr>
          <w:p w14:paraId="0081BB3E">
            <w:pPr>
              <w:widowControl/>
              <w:jc w:val="left"/>
              <w:rPr>
                <w:rFonts w:ascii="宋体" w:hAnsi="宋体" w:cs="宋体"/>
                <w:kern w:val="0"/>
                <w:szCs w:val="21"/>
              </w:rPr>
            </w:pPr>
            <w:r>
              <w:rPr>
                <w:rFonts w:hint="eastAsia" w:ascii="宋体" w:hAnsi="宋体"/>
                <w:szCs w:val="21"/>
              </w:rPr>
              <w:t>DVI、VGA、SDI</w:t>
            </w:r>
            <w:r>
              <w:rPr>
                <w:rFonts w:hint="eastAsia" w:ascii="宋体" w:hAnsi="宋体"/>
                <w:szCs w:val="21"/>
                <w:lang w:eastAsia="zh-CN"/>
              </w:rPr>
              <w:t>、HDMI、CVBS、DP、HDBASE</w:t>
            </w:r>
            <w:r>
              <w:rPr>
                <w:rFonts w:hint="eastAsia" w:ascii="宋体" w:hAnsi="宋体"/>
                <w:szCs w:val="21"/>
              </w:rPr>
              <w:t>等</w:t>
            </w:r>
          </w:p>
        </w:tc>
      </w:tr>
      <w:tr w14:paraId="207B1883">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5A13B77F">
            <w:pPr>
              <w:widowControl/>
              <w:jc w:val="left"/>
              <w:rPr>
                <w:rFonts w:ascii="宋体" w:hAnsi="宋体" w:cs="宋体"/>
                <w:kern w:val="0"/>
                <w:szCs w:val="21"/>
              </w:rPr>
            </w:pPr>
            <w:r>
              <w:rPr>
                <w:rFonts w:hint="eastAsia" w:ascii="宋体" w:hAnsi="宋体" w:cs="宋体"/>
                <w:kern w:val="0"/>
                <w:szCs w:val="21"/>
              </w:rPr>
              <w:t>高</w:t>
            </w:r>
            <w:r>
              <w:rPr>
                <w:rFonts w:hint="eastAsia" w:ascii="宋体" w:hAnsi="宋体" w:cs="宋体"/>
                <w:kern w:val="0"/>
                <w:szCs w:val="21"/>
                <w:lang w:eastAsia="zh-CN"/>
              </w:rPr>
              <w:t>低</w:t>
            </w:r>
            <w:r>
              <w:rPr>
                <w:rFonts w:hint="eastAsia" w:ascii="宋体" w:hAnsi="宋体" w:cs="宋体"/>
                <w:kern w:val="0"/>
                <w:szCs w:val="21"/>
              </w:rPr>
              <w:t>温负荷工作</w:t>
            </w:r>
          </w:p>
        </w:tc>
        <w:tc>
          <w:tcPr>
            <w:tcW w:w="6427" w:type="dxa"/>
            <w:tcBorders>
              <w:top w:val="single" w:color="auto" w:sz="4" w:space="0"/>
              <w:left w:val="nil"/>
              <w:bottom w:val="single" w:color="auto" w:sz="4" w:space="0"/>
              <w:right w:val="single" w:color="auto" w:sz="4" w:space="0"/>
            </w:tcBorders>
            <w:vAlign w:val="center"/>
          </w:tcPr>
          <w:p w14:paraId="7F34260E">
            <w:pPr>
              <w:widowControl/>
              <w:jc w:val="left"/>
              <w:rPr>
                <w:rFonts w:hint="default"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40</w:t>
            </w:r>
            <w:r>
              <w:rPr>
                <w:rFonts w:hint="eastAsia" w:ascii="宋体" w:hAnsi="宋体" w:cs="宋体"/>
                <w:kern w:val="0"/>
                <w:szCs w:val="21"/>
              </w:rPr>
              <w:t>～</w:t>
            </w:r>
            <w:r>
              <w:rPr>
                <w:rFonts w:hint="eastAsia" w:ascii="宋体" w:hAnsi="宋体"/>
                <w:kern w:val="0"/>
                <w:szCs w:val="21"/>
                <w:lang w:val="en-US" w:eastAsia="zh-CN"/>
              </w:rPr>
              <w:t>80</w:t>
            </w:r>
            <w:r>
              <w:rPr>
                <w:rFonts w:hint="eastAsia" w:ascii="宋体" w:hAnsi="宋体" w:cs="宋体"/>
                <w:kern w:val="0"/>
                <w:szCs w:val="21"/>
              </w:rPr>
              <w:t>℃</w:t>
            </w:r>
            <w:r>
              <w:rPr>
                <w:rFonts w:hint="eastAsia" w:ascii="宋体" w:hAnsi="宋体" w:cs="宋体"/>
                <w:kern w:val="0"/>
                <w:szCs w:val="21"/>
                <w:lang w:val="en-US" w:eastAsia="zh-CN"/>
              </w:rPr>
              <w:t xml:space="preserve">  试验时间：12h 试验结束后，产品能正常工作</w:t>
            </w:r>
          </w:p>
        </w:tc>
      </w:tr>
      <w:tr w14:paraId="5AA51842">
        <w:tblPrEx>
          <w:tblCellMar>
            <w:top w:w="0" w:type="dxa"/>
            <w:left w:w="108" w:type="dxa"/>
            <w:bottom w:w="0" w:type="dxa"/>
            <w:right w:w="108" w:type="dxa"/>
          </w:tblCellMar>
        </w:tblPrEx>
        <w:trPr>
          <w:trHeight w:val="309"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19B963F5">
            <w:pPr>
              <w:widowControl/>
              <w:jc w:val="left"/>
              <w:rPr>
                <w:rFonts w:ascii="宋体" w:hAnsi="宋体" w:cs="宋体"/>
                <w:kern w:val="0"/>
                <w:szCs w:val="21"/>
              </w:rPr>
            </w:pPr>
            <w:r>
              <w:rPr>
                <w:rFonts w:hint="eastAsia" w:ascii="宋体" w:hAnsi="宋体" w:cs="宋体"/>
                <w:kern w:val="0"/>
                <w:szCs w:val="21"/>
              </w:rPr>
              <w:t>连续工作时间</w:t>
            </w:r>
          </w:p>
        </w:tc>
        <w:tc>
          <w:tcPr>
            <w:tcW w:w="6427" w:type="dxa"/>
            <w:tcBorders>
              <w:top w:val="single" w:color="auto" w:sz="4" w:space="0"/>
              <w:left w:val="nil"/>
              <w:bottom w:val="single" w:color="auto" w:sz="4" w:space="0"/>
              <w:right w:val="single" w:color="auto" w:sz="4" w:space="0"/>
            </w:tcBorders>
            <w:vAlign w:val="center"/>
          </w:tcPr>
          <w:p w14:paraId="348F3952">
            <w:pPr>
              <w:widowControl/>
              <w:jc w:val="left"/>
              <w:rPr>
                <w:rFonts w:ascii="宋体" w:hAnsi="宋体" w:cs="宋体"/>
                <w:kern w:val="0"/>
                <w:szCs w:val="21"/>
              </w:rPr>
            </w:pPr>
            <w:r>
              <w:rPr>
                <w:rFonts w:hint="eastAsia" w:ascii="宋体" w:hAnsi="宋体" w:cs="宋体"/>
                <w:kern w:val="0"/>
                <w:szCs w:val="21"/>
              </w:rPr>
              <w:t>连续工作时间：≥7×24hrs，支持连续不间断显示</w:t>
            </w:r>
          </w:p>
        </w:tc>
      </w:tr>
      <w:tr w14:paraId="666FB360">
        <w:tblPrEx>
          <w:tblCellMar>
            <w:top w:w="0" w:type="dxa"/>
            <w:left w:w="108" w:type="dxa"/>
            <w:bottom w:w="0" w:type="dxa"/>
            <w:right w:w="108" w:type="dxa"/>
          </w:tblCellMar>
        </w:tblPrEx>
        <w:trPr>
          <w:trHeight w:val="646"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4BDA51B0">
            <w:pPr>
              <w:widowControl/>
              <w:jc w:val="left"/>
              <w:rPr>
                <w:rFonts w:ascii="宋体" w:hAnsi="宋体" w:cs="宋体"/>
                <w:kern w:val="0"/>
                <w:szCs w:val="21"/>
              </w:rPr>
            </w:pPr>
            <w:r>
              <w:rPr>
                <w:rFonts w:hint="eastAsia" w:ascii="宋体" w:hAnsi="宋体" w:cs="宋体"/>
                <w:kern w:val="0"/>
                <w:szCs w:val="21"/>
              </w:rPr>
              <w:t>噪声</w:t>
            </w:r>
          </w:p>
        </w:tc>
        <w:tc>
          <w:tcPr>
            <w:tcW w:w="6427" w:type="dxa"/>
            <w:tcBorders>
              <w:top w:val="single" w:color="auto" w:sz="4" w:space="0"/>
              <w:left w:val="nil"/>
              <w:bottom w:val="single" w:color="auto" w:sz="4" w:space="0"/>
              <w:right w:val="single" w:color="auto" w:sz="4" w:space="0"/>
            </w:tcBorders>
            <w:vAlign w:val="center"/>
          </w:tcPr>
          <w:p w14:paraId="20BEDC6D">
            <w:pPr>
              <w:widowControl/>
              <w:jc w:val="left"/>
              <w:rPr>
                <w:rFonts w:ascii="宋体" w:hAnsi="宋体" w:cs="宋体"/>
                <w:kern w:val="0"/>
                <w:szCs w:val="21"/>
              </w:rPr>
            </w:pPr>
            <w:r>
              <w:rPr>
                <w:rFonts w:hint="eastAsia" w:ascii="宋体" w:hAnsi="宋体" w:cs="宋体"/>
                <w:kern w:val="0"/>
                <w:szCs w:val="21"/>
              </w:rPr>
              <w:t>工作时噪声满足NR-25（噪声标准曲线）要求，屏前后左右四个方向1.0米处噪音＜1.4dB（A）</w:t>
            </w:r>
          </w:p>
        </w:tc>
      </w:tr>
      <w:tr w14:paraId="257C0D5F">
        <w:tblPrEx>
          <w:tblCellMar>
            <w:top w:w="0" w:type="dxa"/>
            <w:left w:w="108" w:type="dxa"/>
            <w:bottom w:w="0" w:type="dxa"/>
            <w:right w:w="108" w:type="dxa"/>
          </w:tblCellMar>
        </w:tblPrEx>
        <w:trPr>
          <w:trHeight w:val="508"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0EB9B495">
            <w:pPr>
              <w:widowControl/>
              <w:jc w:val="left"/>
              <w:rPr>
                <w:rFonts w:ascii="宋体" w:hAnsi="宋体" w:cs="宋体"/>
                <w:kern w:val="0"/>
                <w:szCs w:val="21"/>
              </w:rPr>
            </w:pPr>
            <w:r>
              <w:rPr>
                <w:rFonts w:hint="eastAsia" w:ascii="宋体" w:hAnsi="宋体" w:cs="宋体"/>
                <w:kern w:val="0"/>
                <w:szCs w:val="21"/>
              </w:rPr>
              <w:t>智能节能</w:t>
            </w:r>
          </w:p>
        </w:tc>
        <w:tc>
          <w:tcPr>
            <w:tcW w:w="6427" w:type="dxa"/>
            <w:tcBorders>
              <w:top w:val="single" w:color="auto" w:sz="4" w:space="0"/>
              <w:left w:val="nil"/>
              <w:bottom w:val="single" w:color="auto" w:sz="4" w:space="0"/>
              <w:right w:val="single" w:color="auto" w:sz="4" w:space="0"/>
            </w:tcBorders>
            <w:vAlign w:val="center"/>
          </w:tcPr>
          <w:p w14:paraId="72F1C0E7">
            <w:pPr>
              <w:widowControl/>
              <w:jc w:val="left"/>
              <w:rPr>
                <w:rFonts w:ascii="宋体" w:hAnsi="宋体" w:cs="宋体"/>
                <w:kern w:val="0"/>
                <w:szCs w:val="21"/>
              </w:rPr>
            </w:pPr>
            <w:r>
              <w:rPr>
                <w:rFonts w:hint="eastAsia" w:ascii="宋体" w:hAnsi="宋体" w:cs="宋体"/>
                <w:kern w:val="0"/>
                <w:szCs w:val="21"/>
              </w:rPr>
              <w:t>产品采用高端芯片，可智能调节正常工作与睡眠状态下的节能效果（动态节能，智能息屏），开启智能节能功能比没有开启节能50%以上</w:t>
            </w:r>
          </w:p>
        </w:tc>
      </w:tr>
      <w:tr w14:paraId="13D89989">
        <w:tblPrEx>
          <w:tblCellMar>
            <w:top w:w="0" w:type="dxa"/>
            <w:left w:w="108" w:type="dxa"/>
            <w:bottom w:w="0" w:type="dxa"/>
            <w:right w:w="108" w:type="dxa"/>
          </w:tblCellMar>
        </w:tblPrEx>
        <w:trPr>
          <w:trHeight w:val="508"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7A1A332D">
            <w:pPr>
              <w:widowControl/>
              <w:jc w:val="left"/>
              <w:rPr>
                <w:rFonts w:ascii="宋体" w:hAnsi="宋体" w:cs="宋体"/>
                <w:kern w:val="0"/>
                <w:szCs w:val="21"/>
              </w:rPr>
            </w:pPr>
            <w:r>
              <w:rPr>
                <w:rFonts w:hint="eastAsia" w:ascii="宋体" w:hAnsi="宋体" w:cs="宋体"/>
                <w:kern w:val="0"/>
                <w:szCs w:val="21"/>
              </w:rPr>
              <w:t>防护性能</w:t>
            </w:r>
          </w:p>
        </w:tc>
        <w:tc>
          <w:tcPr>
            <w:tcW w:w="6427" w:type="dxa"/>
            <w:tcBorders>
              <w:top w:val="single" w:color="auto" w:sz="4" w:space="0"/>
              <w:left w:val="nil"/>
              <w:bottom w:val="single" w:color="auto" w:sz="4" w:space="0"/>
              <w:right w:val="single" w:color="auto" w:sz="4" w:space="0"/>
            </w:tcBorders>
            <w:vAlign w:val="center"/>
          </w:tcPr>
          <w:p w14:paraId="66AA67F3">
            <w:pPr>
              <w:widowControl/>
              <w:jc w:val="left"/>
              <w:rPr>
                <w:rFonts w:ascii="宋体" w:hAnsi="宋体" w:cs="宋体"/>
                <w:kern w:val="0"/>
                <w:szCs w:val="21"/>
              </w:rPr>
            </w:pPr>
            <w:r>
              <w:rPr>
                <w:rFonts w:hint="eastAsia" w:ascii="宋体" w:hAnsi="宋体" w:cs="宋体"/>
                <w:kern w:val="0"/>
                <w:szCs w:val="21"/>
              </w:rPr>
              <w:t>具有防静电、防电磁干扰、防腐蚀、防霉菌、防虫、防潮、抗震动、抗雷击等功能；具有电源过压、过流、断电保护、分布上电措施、防护等级达到IP60</w:t>
            </w:r>
          </w:p>
        </w:tc>
      </w:tr>
      <w:tr w14:paraId="72F28EFB">
        <w:tblPrEx>
          <w:tblCellMar>
            <w:top w:w="0" w:type="dxa"/>
            <w:left w:w="108" w:type="dxa"/>
            <w:bottom w:w="0" w:type="dxa"/>
            <w:right w:w="108" w:type="dxa"/>
          </w:tblCellMar>
        </w:tblPrEx>
        <w:trPr>
          <w:trHeight w:val="517"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14:paraId="172AFF57">
            <w:pPr>
              <w:widowControl/>
              <w:jc w:val="left"/>
              <w:rPr>
                <w:rFonts w:ascii="宋体" w:hAnsi="宋体" w:cs="宋体"/>
                <w:kern w:val="0"/>
                <w:szCs w:val="21"/>
              </w:rPr>
            </w:pPr>
            <w:r>
              <w:rPr>
                <w:rFonts w:hint="eastAsia" w:ascii="宋体" w:hAnsi="宋体" w:cs="宋体"/>
                <w:kern w:val="0"/>
                <w:szCs w:val="21"/>
              </w:rPr>
              <w:t>调节软件设置项</w:t>
            </w:r>
          </w:p>
        </w:tc>
        <w:tc>
          <w:tcPr>
            <w:tcW w:w="6427" w:type="dxa"/>
            <w:tcBorders>
              <w:top w:val="single" w:color="auto" w:sz="4" w:space="0"/>
              <w:left w:val="nil"/>
              <w:bottom w:val="single" w:color="auto" w:sz="4" w:space="0"/>
              <w:right w:val="single" w:color="auto" w:sz="4" w:space="0"/>
            </w:tcBorders>
            <w:vAlign w:val="center"/>
          </w:tcPr>
          <w:p w14:paraId="2ABA0CE4">
            <w:pPr>
              <w:widowControl/>
              <w:jc w:val="left"/>
              <w:rPr>
                <w:rFonts w:ascii="宋体" w:hAnsi="宋体" w:cs="宋体"/>
                <w:kern w:val="0"/>
                <w:sz w:val="18"/>
                <w:szCs w:val="18"/>
              </w:rPr>
            </w:pPr>
            <w:r>
              <w:rPr>
                <w:rFonts w:hint="eastAsia" w:ascii="宋体" w:hAnsi="宋体" w:cs="宋体"/>
                <w:kern w:val="0"/>
                <w:sz w:val="18"/>
                <w:szCs w:val="18"/>
              </w:rPr>
              <w:t>支持鬼影消除、首行暗亮消除、低灰偏色补偿、低灰均匀性、低灰横条纹消除、慢速开启、十字架消除、去坏点、毛毛虫消除、余辉消除、亮度缓慢变亮功能</w:t>
            </w:r>
          </w:p>
        </w:tc>
      </w:tr>
    </w:tbl>
    <w:p w14:paraId="1596AAB7">
      <w:pPr>
        <w:keepNext/>
        <w:keepLines/>
        <w:widowControl/>
        <w:tabs>
          <w:tab w:val="left" w:pos="425"/>
          <w:tab w:val="left" w:pos="4265"/>
        </w:tabs>
        <w:wordWrap/>
        <w:spacing w:before="340" w:after="330" w:line="240" w:lineRule="auto"/>
        <w:jc w:val="left"/>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2.售后服务</w:t>
      </w:r>
    </w:p>
    <w:p w14:paraId="2BEB2CDC">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2.1</w:t>
      </w:r>
      <w:r>
        <w:rPr>
          <w:rFonts w:hint="eastAsia" w:asciiTheme="minorEastAsia" w:hAnsiTheme="minorEastAsia" w:eastAsiaTheme="minorEastAsia"/>
          <w:b w:val="0"/>
          <w:bCs/>
          <w:sz w:val="24"/>
        </w:rPr>
        <w:t>保修期限：电子屏产品自验收合格之日起，提供至少三年的免费保修服务</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不可抗及人为因素除外）</w:t>
      </w:r>
      <w:r>
        <w:rPr>
          <w:rFonts w:hint="eastAsia" w:asciiTheme="minorEastAsia" w:hAnsiTheme="minorEastAsia" w:eastAsiaTheme="minorEastAsia"/>
          <w:b w:val="0"/>
          <w:bCs/>
          <w:sz w:val="24"/>
        </w:rPr>
        <w:t>。在保修期内，中标人应负责免费维修或更换因质量问题导致的损坏部件。</w:t>
      </w:r>
    </w:p>
    <w:p w14:paraId="3C28E5BD">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2.2</w:t>
      </w:r>
      <w:r>
        <w:rPr>
          <w:rFonts w:hint="eastAsia" w:asciiTheme="minorEastAsia" w:hAnsiTheme="minorEastAsia" w:eastAsiaTheme="minorEastAsia"/>
          <w:b w:val="0"/>
          <w:bCs/>
          <w:sz w:val="24"/>
        </w:rPr>
        <w:t>维修响应时间：在接到报修通知后，中标人应在2小时内作出响应，并在24小时内到达现场进行维修。如无法在24小时内修复，中标人需提供备用设备以确保电子屏的正常使用。</w:t>
      </w:r>
    </w:p>
    <w:p w14:paraId="2F43476F">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2.3</w:t>
      </w:r>
      <w:r>
        <w:rPr>
          <w:rFonts w:hint="eastAsia" w:asciiTheme="minorEastAsia" w:hAnsiTheme="minorEastAsia" w:eastAsiaTheme="minorEastAsia"/>
          <w:b w:val="0"/>
          <w:bCs/>
          <w:sz w:val="24"/>
        </w:rPr>
        <w:t>定期维护保养：中标人应提供定期的维护保养服务，每季度至少进行一次全面检查和保养，确保电子屏的稳定运行。每次维护保养后，需提供详细的维护报告。</w:t>
      </w:r>
    </w:p>
    <w:p w14:paraId="27125BDF">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2.4</w:t>
      </w:r>
      <w:r>
        <w:rPr>
          <w:rFonts w:hint="eastAsia" w:asciiTheme="minorEastAsia" w:hAnsiTheme="minorEastAsia" w:eastAsiaTheme="minorEastAsia"/>
          <w:b w:val="0"/>
          <w:bCs/>
          <w:sz w:val="24"/>
        </w:rPr>
        <w:t>备品备件供应：中标人需在项目所在地设有备品备件库，确保常用零部件的充足供应。在保修期内，应免费提供所需备件，保修期外按不高于投标时的价格供应。</w:t>
      </w:r>
    </w:p>
    <w:p w14:paraId="0EAF631C">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2.5</w:t>
      </w:r>
      <w:r>
        <w:rPr>
          <w:rFonts w:hint="eastAsia" w:asciiTheme="minorEastAsia" w:hAnsiTheme="minorEastAsia" w:eastAsiaTheme="minorEastAsia"/>
          <w:b w:val="0"/>
          <w:bCs/>
          <w:sz w:val="24"/>
        </w:rPr>
        <w:t>技术培训：中标人应提供现场技术培训服务，确保招标人的技术人员能熟练掌握电子屏的安装、操作、维护保养及常见故障的排除方法。培训内容应包括理论讲解和实际操作。</w:t>
      </w:r>
    </w:p>
    <w:p w14:paraId="1E995655">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2.6</w:t>
      </w:r>
      <w:r>
        <w:rPr>
          <w:rFonts w:hint="eastAsia" w:asciiTheme="minorEastAsia" w:hAnsiTheme="minorEastAsia" w:eastAsiaTheme="minorEastAsia"/>
          <w:b w:val="0"/>
          <w:bCs/>
          <w:sz w:val="24"/>
        </w:rPr>
        <w:t>售后服务团队：中标人应建立专业的售后服务团队，团队成员应具备相关专业资质和丰富经验，能独立处理各种技术问题。</w:t>
      </w:r>
    </w:p>
    <w:p w14:paraId="2076D8A6">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2.7</w:t>
      </w:r>
      <w:r>
        <w:rPr>
          <w:rFonts w:hint="eastAsia" w:asciiTheme="minorEastAsia" w:hAnsiTheme="minorEastAsia" w:eastAsiaTheme="minorEastAsia"/>
          <w:b w:val="0"/>
          <w:bCs/>
          <w:sz w:val="24"/>
        </w:rPr>
        <w:t>远程支持：中标人应提供7*24小时的远程技术支持服务，通过电话、网络等方式及时解答招标人的技术疑问和解决问题。</w:t>
      </w:r>
    </w:p>
    <w:p w14:paraId="602608E6">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2.8</w:t>
      </w:r>
      <w:r>
        <w:rPr>
          <w:rFonts w:hint="eastAsia" w:asciiTheme="minorEastAsia" w:hAnsiTheme="minorEastAsia" w:eastAsiaTheme="minorEastAsia"/>
          <w:b w:val="0"/>
          <w:bCs/>
          <w:sz w:val="24"/>
        </w:rPr>
        <w:t>售后服务评价：招标人将定期对中标人的售后服务进行评价，包括响应速度、服务态度、解决问题能力等方面。评价结果将作为后续合作的重要依据。</w:t>
      </w:r>
    </w:p>
    <w:p w14:paraId="5B8C50BE">
      <w:pPr>
        <w:widowControl/>
        <w:wordWrap/>
        <w:spacing w:line="360" w:lineRule="auto"/>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2.9</w:t>
      </w:r>
      <w:r>
        <w:rPr>
          <w:rFonts w:hint="eastAsia" w:asciiTheme="minorEastAsia" w:hAnsiTheme="minorEastAsia" w:eastAsiaTheme="minorEastAsia"/>
          <w:b w:val="0"/>
          <w:bCs/>
          <w:sz w:val="24"/>
        </w:rPr>
        <w:t>违约责任：如中标人未能按招标文件要求提供售后服务，招标人有权要求中标人支付违约金，并有权终止合同。</w:t>
      </w:r>
    </w:p>
    <w:p w14:paraId="07840396">
      <w:pPr>
        <w:rPr>
          <w:rFonts w:asciiTheme="minorEastAsia" w:hAnsiTheme="minorEastAsia" w:eastAsiaTheme="minorEastAsia"/>
          <w:b/>
          <w:sz w:val="24"/>
        </w:rPr>
      </w:pPr>
      <w:r>
        <w:rPr>
          <w:rFonts w:asciiTheme="minorEastAsia" w:hAnsiTheme="minorEastAsia" w:eastAsiaTheme="minorEastAsia"/>
          <w:b/>
          <w:sz w:val="24"/>
        </w:rPr>
        <w:br w:type="page"/>
      </w:r>
    </w:p>
    <w:p w14:paraId="73B969B6">
      <w:pPr>
        <w:widowControl/>
        <w:wordWrap/>
        <w:spacing w:line="360" w:lineRule="auto"/>
        <w:ind w:left="0" w:leftChars="0" w:right="0" w:rightChars="0" w:firstLine="0" w:firstLineChars="0"/>
        <w:jc w:val="center"/>
        <w:rPr>
          <w:rFonts w:asciiTheme="minorEastAsia" w:hAnsiTheme="minorEastAsia" w:eastAsiaTheme="minorEastAsia"/>
          <w:sz w:val="24"/>
        </w:rPr>
      </w:pPr>
      <w:r>
        <w:rPr>
          <w:rFonts w:asciiTheme="minorEastAsia" w:hAnsiTheme="minorEastAsia" w:eastAsiaTheme="minorEastAsia"/>
          <w:b/>
          <w:sz w:val="24"/>
        </w:rPr>
        <w:t>第</w:t>
      </w:r>
      <w:r>
        <w:rPr>
          <w:rFonts w:hint="eastAsia" w:asciiTheme="minorEastAsia" w:hAnsiTheme="minorEastAsia" w:eastAsiaTheme="minorEastAsia"/>
          <w:b/>
          <w:sz w:val="24"/>
          <w:lang w:val="en-US" w:eastAsia="zh-CN"/>
        </w:rPr>
        <w:t>四</w:t>
      </w:r>
      <w:r>
        <w:rPr>
          <w:rFonts w:asciiTheme="minorEastAsia" w:hAnsiTheme="minorEastAsia" w:eastAsiaTheme="minorEastAsia"/>
          <w:b/>
          <w:sz w:val="24"/>
        </w:rPr>
        <w:t>章  磋商程序</w:t>
      </w:r>
    </w:p>
    <w:p w14:paraId="03D3EE3C">
      <w:pPr>
        <w:widowControl/>
        <w:wordWrap/>
        <w:spacing w:line="300" w:lineRule="auto"/>
        <w:jc w:val="left"/>
        <w:outlineLvl w:val="0"/>
        <w:rPr>
          <w:rFonts w:hAnsi="宋体"/>
          <w:sz w:val="24"/>
          <w:lang w:eastAsia="zh-CN"/>
        </w:rPr>
      </w:pPr>
      <w:r>
        <w:rPr>
          <w:rFonts w:hint="eastAsia" w:hAnsi="宋体"/>
          <w:sz w:val="24"/>
          <w:lang w:val="en-US" w:eastAsia="zh-CN"/>
        </w:rPr>
        <w:t>1.</w:t>
      </w:r>
      <w:r>
        <w:rPr>
          <w:rFonts w:hAnsi="宋体"/>
          <w:sz w:val="24"/>
          <w:lang w:eastAsia="zh-CN"/>
        </w:rPr>
        <w:t>磋商小组及专家组成</w:t>
      </w:r>
    </w:p>
    <w:p w14:paraId="5D2B1138">
      <w:pPr>
        <w:widowControl/>
        <w:wordWrap/>
        <w:spacing w:line="300" w:lineRule="auto"/>
        <w:ind w:firstLine="480" w:firstLineChars="200"/>
        <w:jc w:val="left"/>
        <w:outlineLvl w:val="0"/>
        <w:rPr>
          <w:rFonts w:hint="eastAsia" w:hAnsi="宋体"/>
          <w:bCs/>
          <w:sz w:val="24"/>
          <w:lang w:val="en-US" w:eastAsia="zh-CN"/>
        </w:rPr>
      </w:pPr>
      <w:r>
        <w:rPr>
          <w:rFonts w:hint="eastAsia" w:hAnsi="宋体"/>
          <w:bCs/>
          <w:sz w:val="24"/>
          <w:lang w:val="en-US" w:eastAsia="zh-CN"/>
        </w:rPr>
        <w:t>根据《人文社会发展学院货物和服务采购工作管理办法》（人文[2020]19号）等的规定并结合本次采购项目的实际情况，磋商小组由采购人和采购工作组三人及以上的单数组成，负责本次采购项目的磋商和评审工作。</w:t>
      </w:r>
    </w:p>
    <w:p w14:paraId="578952DD">
      <w:pPr>
        <w:widowControl/>
        <w:wordWrap/>
        <w:spacing w:line="300" w:lineRule="auto"/>
        <w:jc w:val="left"/>
        <w:outlineLvl w:val="0"/>
        <w:rPr>
          <w:rFonts w:hAnsi="宋体"/>
          <w:sz w:val="24"/>
          <w:lang w:eastAsia="zh-CN"/>
        </w:rPr>
      </w:pPr>
      <w:r>
        <w:rPr>
          <w:rFonts w:hint="eastAsia" w:hAnsi="宋体"/>
          <w:sz w:val="24"/>
          <w:lang w:val="en-US" w:eastAsia="zh-CN"/>
        </w:rPr>
        <w:t>2.</w:t>
      </w:r>
      <w:r>
        <w:rPr>
          <w:rFonts w:hint="eastAsia" w:hAnsi="宋体"/>
          <w:sz w:val="24"/>
        </w:rPr>
        <w:t>资格审查</w:t>
      </w:r>
    </w:p>
    <w:p w14:paraId="69E31A5B">
      <w:pPr>
        <w:widowControl/>
        <w:wordWrap/>
        <w:spacing w:line="300" w:lineRule="auto"/>
        <w:ind w:firstLine="480" w:firstLineChars="200"/>
        <w:jc w:val="left"/>
        <w:outlineLvl w:val="0"/>
        <w:rPr>
          <w:rFonts w:hAnsi="宋体"/>
          <w:bCs/>
          <w:sz w:val="24"/>
          <w:lang w:eastAsia="zh-CN"/>
        </w:rPr>
      </w:pPr>
      <w:r>
        <w:rPr>
          <w:rFonts w:hint="eastAsia" w:hAnsi="宋体"/>
          <w:bCs/>
          <w:sz w:val="24"/>
          <w:lang w:val="en-US" w:eastAsia="zh-CN"/>
        </w:rPr>
        <w:t>2</w:t>
      </w:r>
      <w:r>
        <w:rPr>
          <w:rFonts w:hAnsi="宋体"/>
          <w:bCs/>
          <w:sz w:val="24"/>
          <w:lang w:eastAsia="zh-CN"/>
        </w:rPr>
        <w:t>.1在供应商递交响应文件截止时间结束后，</w:t>
      </w:r>
      <w:r>
        <w:rPr>
          <w:rFonts w:hint="eastAsia" w:hAnsi="宋体"/>
          <w:bCs/>
          <w:sz w:val="24"/>
          <w:lang w:eastAsia="zh-CN"/>
        </w:rPr>
        <w:t>采购人或采购</w:t>
      </w:r>
      <w:r>
        <w:rPr>
          <w:rFonts w:hint="eastAsia" w:hAnsi="宋体"/>
          <w:bCs/>
          <w:sz w:val="24"/>
          <w:lang w:val="en-US" w:eastAsia="zh-CN"/>
        </w:rPr>
        <w:t>工作组</w:t>
      </w:r>
      <w:r>
        <w:rPr>
          <w:rFonts w:hAnsi="宋体"/>
          <w:bCs/>
          <w:sz w:val="24"/>
          <w:lang w:eastAsia="zh-CN"/>
        </w:rPr>
        <w:t>对递交响应文件的供应商进行资格审查，确定邀请参加磋商的供应商名单。</w:t>
      </w:r>
    </w:p>
    <w:p w14:paraId="63E08976">
      <w:pPr>
        <w:widowControl/>
        <w:wordWrap/>
        <w:spacing w:line="300" w:lineRule="auto"/>
        <w:ind w:firstLine="480" w:firstLineChars="200"/>
        <w:jc w:val="left"/>
        <w:outlineLvl w:val="0"/>
        <w:rPr>
          <w:rFonts w:hAnsi="宋体"/>
          <w:bCs/>
          <w:sz w:val="24"/>
          <w:lang w:eastAsia="zh-CN"/>
        </w:rPr>
      </w:pPr>
      <w:r>
        <w:rPr>
          <w:rFonts w:hAnsi="宋体"/>
          <w:bCs/>
          <w:sz w:val="24"/>
          <w:lang w:eastAsia="zh-CN"/>
        </w:rPr>
        <w:t>确定参加磋商的供应商数量采用合格数量制，即</w:t>
      </w:r>
      <w:r>
        <w:rPr>
          <w:rFonts w:hint="eastAsia" w:hAnsi="宋体"/>
          <w:bCs/>
          <w:sz w:val="24"/>
          <w:lang w:val="en-US" w:eastAsia="zh-CN"/>
        </w:rPr>
        <w:t>-</w:t>
      </w:r>
      <w:r>
        <w:rPr>
          <w:rFonts w:hint="eastAsia" w:hAnsi="宋体"/>
          <w:bCs/>
          <w:sz w:val="24"/>
          <w:lang w:eastAsia="zh-CN"/>
        </w:rPr>
        <w:t>采购人或</w:t>
      </w:r>
      <w:r>
        <w:rPr>
          <w:rFonts w:hint="eastAsia" w:hAnsi="宋体"/>
          <w:bCs/>
          <w:sz w:val="24"/>
          <w:lang w:val="en-US" w:eastAsia="zh-CN"/>
        </w:rPr>
        <w:t>采购工作组</w:t>
      </w:r>
      <w:r>
        <w:rPr>
          <w:rFonts w:hAnsi="宋体"/>
          <w:bCs/>
          <w:sz w:val="24"/>
          <w:lang w:eastAsia="zh-CN"/>
        </w:rPr>
        <w:t>对各供应商资格审查后，凡符合本磋商文件规定资格条件的，均进入参加磋商的供应商</w:t>
      </w:r>
      <w:r>
        <w:rPr>
          <w:rFonts w:hint="eastAsia" w:hAnsi="宋体"/>
          <w:bCs/>
          <w:sz w:val="24"/>
          <w:lang w:eastAsia="zh-CN"/>
        </w:rPr>
        <w:t>名单</w:t>
      </w:r>
      <w:r>
        <w:rPr>
          <w:rFonts w:hAnsi="宋体"/>
          <w:bCs/>
          <w:sz w:val="24"/>
          <w:lang w:eastAsia="zh-CN"/>
        </w:rPr>
        <w:t>。</w:t>
      </w:r>
    </w:p>
    <w:p w14:paraId="4DBB8FB6">
      <w:pPr>
        <w:widowControl/>
        <w:wordWrap/>
        <w:spacing w:line="300" w:lineRule="auto"/>
        <w:ind w:firstLine="480" w:firstLineChars="200"/>
        <w:jc w:val="left"/>
        <w:outlineLvl w:val="0"/>
        <w:rPr>
          <w:rFonts w:hAnsi="宋体"/>
          <w:bCs/>
          <w:sz w:val="24"/>
          <w:lang w:eastAsia="zh-CN"/>
        </w:rPr>
      </w:pPr>
      <w:r>
        <w:rPr>
          <w:rFonts w:hint="eastAsia" w:hAnsi="宋体"/>
          <w:bCs/>
          <w:sz w:val="24"/>
          <w:lang w:val="en-US" w:eastAsia="zh-CN"/>
        </w:rPr>
        <w:t>2</w:t>
      </w:r>
      <w:r>
        <w:rPr>
          <w:rFonts w:hAnsi="宋体"/>
          <w:bCs/>
          <w:sz w:val="24"/>
          <w:lang w:eastAsia="zh-CN"/>
        </w:rPr>
        <w:t>.</w:t>
      </w:r>
      <w:r>
        <w:rPr>
          <w:rFonts w:hint="eastAsia" w:hAnsi="宋体"/>
          <w:bCs/>
          <w:sz w:val="24"/>
          <w:lang w:val="en-US" w:eastAsia="zh-CN"/>
        </w:rPr>
        <w:t>2</w:t>
      </w:r>
      <w:r>
        <w:rPr>
          <w:rFonts w:hAnsi="宋体"/>
          <w:bCs/>
          <w:sz w:val="24"/>
          <w:lang w:eastAsia="zh-CN"/>
        </w:rPr>
        <w:t>通过资格审查的供应商不足三家的，本次磋商采购活动终止。</w:t>
      </w:r>
    </w:p>
    <w:p w14:paraId="78312270">
      <w:pPr>
        <w:widowControl/>
        <w:wordWrap/>
        <w:spacing w:line="300" w:lineRule="auto"/>
        <w:jc w:val="left"/>
        <w:outlineLvl w:val="0"/>
        <w:rPr>
          <w:rFonts w:hAnsi="宋体"/>
          <w:sz w:val="24"/>
        </w:rPr>
      </w:pPr>
      <w:r>
        <w:rPr>
          <w:rFonts w:hint="eastAsia" w:hAnsi="宋体"/>
          <w:sz w:val="24"/>
          <w:lang w:val="en-US" w:eastAsia="zh-CN"/>
        </w:rPr>
        <w:t>3.</w:t>
      </w:r>
      <w:r>
        <w:rPr>
          <w:rFonts w:hAnsi="宋体"/>
          <w:sz w:val="24"/>
        </w:rPr>
        <w:t>磋商程序</w:t>
      </w:r>
    </w:p>
    <w:p w14:paraId="2808AC19">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.1</w:t>
      </w:r>
      <w:r>
        <w:rPr>
          <w:rFonts w:hAnsi="宋体"/>
          <w:sz w:val="24"/>
        </w:rPr>
        <w:t>磋商小组成员按磋商文件规定集中与通过资格审查的供应商分别进行磋商，磋商的顺序以现场抽签的方式确定。</w:t>
      </w:r>
    </w:p>
    <w:p w14:paraId="216174A5">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.2</w:t>
      </w:r>
      <w:r>
        <w:rPr>
          <w:rFonts w:hAnsi="宋体"/>
          <w:sz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4EDA6719">
      <w:pPr>
        <w:wordWrap/>
        <w:spacing w:line="300" w:lineRule="auto"/>
        <w:ind w:left="-426" w:firstLine="480" w:firstLineChars="200"/>
        <w:rPr>
          <w:rFonts w:hAnsi="宋体"/>
          <w:sz w:val="24"/>
        </w:rPr>
      </w:pPr>
      <w:r>
        <w:rPr>
          <w:rFonts w:hAnsi="宋体"/>
          <w:sz w:val="24"/>
        </w:rPr>
        <w:t>供应商书面材料应当签字确认，否则无效。供应商为法人的，应当由其法定代表人或者代理人签字确认。</w:t>
      </w:r>
    </w:p>
    <w:p w14:paraId="6661EADB">
      <w:pPr>
        <w:spacing w:line="300" w:lineRule="auto"/>
        <w:ind w:left="-426" w:firstLine="480" w:firstLineChars="200"/>
        <w:rPr>
          <w:rFonts w:hAnsi="宋体"/>
          <w:sz w:val="24"/>
          <w:lang w:eastAsia="zh-CN"/>
        </w:rPr>
      </w:pPr>
      <w:r>
        <w:rPr>
          <w:rFonts w:hint="eastAsia" w:hAnsi="宋体"/>
          <w:sz w:val="24"/>
          <w:lang w:val="en-US" w:eastAsia="zh-CN"/>
        </w:rPr>
        <w:t>3</w:t>
      </w:r>
      <w:r>
        <w:rPr>
          <w:rFonts w:hint="eastAsia" w:hAnsi="宋体"/>
          <w:sz w:val="24"/>
          <w:lang w:eastAsia="zh-CN"/>
        </w:rPr>
        <w:t>.3</w:t>
      </w:r>
      <w:r>
        <w:rPr>
          <w:rFonts w:hint="eastAsia" w:hAnsi="宋体"/>
          <w:sz w:val="24"/>
        </w:rPr>
        <w:t>磋商过程中，磋商小组对响应文件的有效性、完整性和响应程度进行审查（符合性审查）</w:t>
      </w:r>
      <w:r>
        <w:rPr>
          <w:rFonts w:hint="eastAsia" w:hAnsi="宋体"/>
          <w:sz w:val="24"/>
          <w:lang w:eastAsia="zh-CN"/>
        </w:rPr>
        <w:t>。</w:t>
      </w:r>
    </w:p>
    <w:p w14:paraId="51A9C24F">
      <w:pPr>
        <w:spacing w:line="300" w:lineRule="auto"/>
        <w:ind w:left="-426" w:firstLine="480" w:firstLineChars="200"/>
      </w:pPr>
      <w:r>
        <w:rPr>
          <w:rFonts w:hint="eastAsia"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955029">
      <w:pPr>
        <w:wordWrap/>
        <w:spacing w:line="300" w:lineRule="auto"/>
        <w:ind w:left="-426" w:firstLine="480" w:firstLineChars="200"/>
        <w:rPr>
          <w:rFonts w:hAnsi="宋体"/>
          <w:sz w:val="24"/>
          <w:lang w:eastAsia="zh-CN"/>
        </w:rPr>
      </w:pPr>
      <w:r>
        <w:rPr>
          <w:rFonts w:hint="eastAsia" w:hAnsi="宋体"/>
          <w:sz w:val="24"/>
          <w:lang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0C5A207">
      <w:pPr>
        <w:wordWrap/>
        <w:spacing w:line="300" w:lineRule="auto"/>
        <w:ind w:left="-426" w:firstLine="480" w:firstLineChars="200"/>
        <w:rPr>
          <w:rFonts w:hAnsi="宋体"/>
          <w:sz w:val="24"/>
          <w:lang w:eastAsia="zh-CN"/>
        </w:rPr>
      </w:pPr>
      <w:r>
        <w:rPr>
          <w:rFonts w:hint="eastAsia" w:hAnsi="宋体"/>
          <w:sz w:val="24"/>
        </w:rPr>
        <w:t>符合性审查</w:t>
      </w:r>
    </w:p>
    <w:p w14:paraId="369C4769">
      <w:pPr>
        <w:wordWrap/>
        <w:spacing w:line="300" w:lineRule="auto"/>
        <w:ind w:left="-426" w:firstLine="480" w:firstLineChars="200"/>
        <w:rPr>
          <w:rFonts w:hAnsi="宋体"/>
          <w:sz w:val="24"/>
        </w:rPr>
      </w:pPr>
      <w:r>
        <w:rPr>
          <w:rFonts w:hint="eastAsia" w:hAnsi="宋体"/>
          <w:sz w:val="24"/>
        </w:rPr>
        <w:t>审查中发现供应商响应文件属于下列情况之一的，应按照无效响应文件处理：</w:t>
      </w:r>
    </w:p>
    <w:p w14:paraId="7504712A">
      <w:pPr>
        <w:wordWrap/>
        <w:spacing w:line="300" w:lineRule="auto"/>
        <w:ind w:left="-426" w:firstLine="480" w:firstLineChars="200"/>
        <w:rPr>
          <w:rFonts w:hAnsi="宋体"/>
          <w:sz w:val="24"/>
        </w:rPr>
      </w:pPr>
      <w:r>
        <w:rPr>
          <w:rFonts w:hint="eastAsia" w:hAnsi="宋体"/>
          <w:sz w:val="24"/>
        </w:rPr>
        <w:t>（1）响应文件正副本数量不足的；</w:t>
      </w:r>
    </w:p>
    <w:p w14:paraId="464A2F60">
      <w:pPr>
        <w:wordWrap/>
        <w:spacing w:line="300" w:lineRule="auto"/>
        <w:ind w:left="-426" w:firstLine="480" w:firstLineChars="200"/>
        <w:rPr>
          <w:rFonts w:hAnsi="宋体"/>
          <w:sz w:val="24"/>
        </w:rPr>
      </w:pPr>
      <w:r>
        <w:rPr>
          <w:rFonts w:hint="eastAsia" w:hAnsi="宋体"/>
          <w:sz w:val="24"/>
        </w:rPr>
        <w:t>（2）响应文件组成明显不符合采购文件的规定要求，影响磋商小组评判的；</w:t>
      </w:r>
    </w:p>
    <w:p w14:paraId="5F5869FC">
      <w:pPr>
        <w:wordWrap/>
        <w:spacing w:line="300" w:lineRule="auto"/>
        <w:ind w:left="-426" w:firstLine="480" w:firstLineChars="200"/>
        <w:rPr>
          <w:rFonts w:hAnsi="宋体"/>
          <w:sz w:val="24"/>
        </w:rPr>
      </w:pPr>
      <w:r>
        <w:rPr>
          <w:rFonts w:hint="eastAsia" w:hAnsi="宋体"/>
          <w:sz w:val="24"/>
        </w:rPr>
        <w:t>（3）响应文件的语言、计量单位、知识产权、响应有效期等不符合采购文件的规定，影响磋商小组评判的；</w:t>
      </w:r>
    </w:p>
    <w:p w14:paraId="547701D1">
      <w:pPr>
        <w:wordWrap/>
        <w:spacing w:line="300" w:lineRule="auto"/>
        <w:ind w:left="-426" w:firstLine="480" w:firstLineChars="200"/>
        <w:rPr>
          <w:rFonts w:hAnsi="宋体"/>
          <w:sz w:val="24"/>
        </w:rPr>
      </w:pPr>
      <w:r>
        <w:rPr>
          <w:rFonts w:hint="eastAsia" w:hAnsi="宋体"/>
          <w:sz w:val="24"/>
        </w:rPr>
        <w:t>(4）磋商小组经过磋商后，供应商响应文件中技术、服务标准明显不符合磋商文件实质性要求的，或者磋商过程中，磋商小组发现或者知晓供应商存在违法、违纪行为的；</w:t>
      </w:r>
    </w:p>
    <w:p w14:paraId="30A95544">
      <w:pPr>
        <w:wordWrap/>
        <w:spacing w:line="300" w:lineRule="auto"/>
        <w:ind w:left="-426" w:firstLine="480" w:firstLineChars="200"/>
        <w:rPr>
          <w:rFonts w:hAnsi="宋体"/>
          <w:sz w:val="24"/>
        </w:rPr>
      </w:pPr>
      <w:r>
        <w:rPr>
          <w:rFonts w:hint="eastAsia" w:hAnsi="宋体"/>
          <w:sz w:val="24"/>
        </w:rPr>
        <w:t>（5）属于磋商文件中无效响应情形的。</w:t>
      </w:r>
    </w:p>
    <w:p w14:paraId="2124AEDF">
      <w:pPr>
        <w:wordWrap/>
        <w:spacing w:line="300" w:lineRule="auto"/>
        <w:ind w:left="-426" w:firstLine="480" w:firstLineChars="200"/>
        <w:rPr>
          <w:rFonts w:hAnsi="宋体"/>
          <w:sz w:val="24"/>
          <w:lang w:eastAsia="zh-CN"/>
        </w:rPr>
      </w:pPr>
      <w:r>
        <w:rPr>
          <w:rFonts w:hint="eastAsia" w:hAnsi="宋体"/>
          <w:sz w:val="24"/>
        </w:rPr>
        <w:t>磋商小组对响应文件签署、盖章等进行审查过程中，有下列情形的，磋商小组应当评定为不影响整个响应文件有效性和采购活动公平竞争，并通过响应文件的有效性审查：</w:t>
      </w:r>
    </w:p>
    <w:p w14:paraId="64D1D523">
      <w:pPr>
        <w:wordWrap/>
        <w:spacing w:line="300" w:lineRule="auto"/>
        <w:ind w:left="-426" w:firstLine="480" w:firstLineChars="200"/>
        <w:rPr>
          <w:rFonts w:hAnsi="宋体"/>
          <w:sz w:val="24"/>
        </w:rPr>
      </w:pPr>
      <w:r>
        <w:rPr>
          <w:rFonts w:hint="eastAsia" w:hAnsi="宋体"/>
          <w:sz w:val="24"/>
        </w:rPr>
        <w:t>（1）响应文件除采购文件明确要求加盖单位（法人）公章的以外，其他地方以相关专用章加盖的；</w:t>
      </w:r>
    </w:p>
    <w:p w14:paraId="661082B2">
      <w:pPr>
        <w:wordWrap/>
        <w:spacing w:line="300" w:lineRule="auto"/>
        <w:ind w:left="-426" w:firstLine="480" w:firstLineChars="200"/>
        <w:rPr>
          <w:rFonts w:hAnsi="宋体"/>
          <w:sz w:val="24"/>
        </w:rPr>
      </w:pPr>
      <w:r>
        <w:rPr>
          <w:rFonts w:hint="eastAsia" w:hAnsi="宋体"/>
          <w:sz w:val="24"/>
        </w:rPr>
        <w:t>（2）以骑缝章的形式代替响应文件内容逐页盖章的（但是骑缝章模糊不清，印章名称无法辨认的除外）。</w:t>
      </w:r>
    </w:p>
    <w:p w14:paraId="12FCB580">
      <w:pPr>
        <w:wordWrap/>
        <w:spacing w:line="300" w:lineRule="auto"/>
        <w:ind w:left="-426" w:firstLine="480" w:firstLineChars="200"/>
        <w:rPr>
          <w:rFonts w:hAnsi="宋体"/>
          <w:sz w:val="24"/>
          <w:lang w:eastAsia="zh-CN"/>
        </w:rPr>
      </w:pPr>
      <w:r>
        <w:rPr>
          <w:rFonts w:hint="eastAsia" w:hAnsi="宋体"/>
          <w:sz w:val="24"/>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14:paraId="61B5D802">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rPr>
        <w:t>.4</w:t>
      </w:r>
      <w:r>
        <w:rPr>
          <w:rFonts w:hAnsi="宋体"/>
          <w:sz w:val="24"/>
        </w:rPr>
        <w:t>采购需求中的技术、服务要求以及合同草案条款</w:t>
      </w:r>
      <w:r>
        <w:rPr>
          <w:rFonts w:hint="eastAsia" w:hAnsi="宋体"/>
          <w:sz w:val="24"/>
        </w:rPr>
        <w:t>发生</w:t>
      </w:r>
      <w:r>
        <w:rPr>
          <w:rFonts w:hAnsi="宋体"/>
          <w:sz w:val="24"/>
        </w:rPr>
        <w:t>实质性变动</w:t>
      </w:r>
      <w:r>
        <w:rPr>
          <w:rFonts w:hint="eastAsia" w:hAnsi="宋体"/>
          <w:sz w:val="24"/>
        </w:rPr>
        <w:t>时，</w:t>
      </w:r>
      <w:r>
        <w:rPr>
          <w:rFonts w:hAnsi="宋体"/>
          <w:sz w:val="24"/>
        </w:rPr>
        <w:t>磋商小组经过</w:t>
      </w:r>
      <w:r>
        <w:rPr>
          <w:rFonts w:hint="eastAsia" w:hAnsi="宋体"/>
          <w:sz w:val="24"/>
        </w:rPr>
        <w:t>两</w:t>
      </w:r>
      <w:r>
        <w:rPr>
          <w:rFonts w:hAnsi="宋体"/>
          <w:sz w:val="24"/>
        </w:rPr>
        <w:t>轮及以上磋商后，供应商响应文件</w:t>
      </w:r>
      <w:r>
        <w:rPr>
          <w:rFonts w:hint="eastAsia" w:hAnsi="宋体"/>
          <w:sz w:val="24"/>
        </w:rPr>
        <w:t>中技术规格、技术标准明显不符合磋商项目实质性要求的</w:t>
      </w:r>
      <w:r>
        <w:rPr>
          <w:rFonts w:hAnsi="宋体"/>
          <w:sz w:val="24"/>
        </w:rPr>
        <w:t>，或者磋商过程中，磋商小组发现或者知晓供应商存在违法、违纪行为的，磋商小组应当将该供应商淘汰。</w:t>
      </w:r>
    </w:p>
    <w:p w14:paraId="7A61475E">
      <w:pPr>
        <w:wordWrap/>
        <w:spacing w:line="300" w:lineRule="auto"/>
        <w:ind w:left="-426" w:firstLine="480" w:firstLineChars="200"/>
        <w:rPr>
          <w:rFonts w:hAnsi="宋体"/>
          <w:sz w:val="24"/>
        </w:rPr>
      </w:pPr>
      <w:r>
        <w:rPr>
          <w:rFonts w:hAnsi="宋体"/>
          <w:sz w:val="24"/>
        </w:rPr>
        <w:t>磋商小组淘汰供应商的，应当通知该供应商，并说明理由。</w:t>
      </w:r>
    </w:p>
    <w:p w14:paraId="5513C152">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.5</w:t>
      </w:r>
      <w:r>
        <w:rPr>
          <w:rFonts w:hAnsi="宋体"/>
          <w:sz w:val="24"/>
        </w:rPr>
        <w:t>供应商响应文件满足或者高于磋商文件规定的采购项目最低要求时，即视同供应商响应文件符合采购需求、质量和服务相等。</w:t>
      </w:r>
    </w:p>
    <w:p w14:paraId="57846DEA">
      <w:pPr>
        <w:wordWrap/>
        <w:spacing w:line="300" w:lineRule="auto"/>
        <w:ind w:left="-426" w:firstLine="480" w:firstLineChars="200"/>
        <w:rPr>
          <w:rFonts w:hAnsi="宋体"/>
          <w:sz w:val="24"/>
          <w:lang w:eastAsia="zh-CN"/>
        </w:rPr>
      </w:pPr>
      <w:r>
        <w:rPr>
          <w:rFonts w:hint="eastAsia" w:hAnsi="宋体"/>
          <w:sz w:val="24"/>
          <w:lang w:val="en-US" w:eastAsia="zh-CN"/>
        </w:rPr>
        <w:t>3</w:t>
      </w:r>
      <w:r>
        <w:rPr>
          <w:rFonts w:hint="eastAsia" w:hAnsi="宋体"/>
          <w:sz w:val="24"/>
          <w:lang w:eastAsia="zh-CN"/>
        </w:rPr>
        <w:t>.6</w:t>
      </w:r>
      <w:r>
        <w:rPr>
          <w:rFonts w:hAnsi="宋体"/>
          <w:sz w:val="24"/>
        </w:rPr>
        <w:t>供应商进行最终报价，应当在磋商室外填写报价单，密封递交，由采购人方监督代表</w:t>
      </w:r>
      <w:r>
        <w:rPr>
          <w:rFonts w:hint="eastAsia" w:hAnsi="宋体"/>
          <w:sz w:val="24"/>
        </w:rPr>
        <w:t>监督下</w:t>
      </w:r>
      <w:r>
        <w:rPr>
          <w:rFonts w:hAnsi="宋体"/>
          <w:sz w:val="24"/>
        </w:rPr>
        <w:t>收齐</w:t>
      </w:r>
      <w:r>
        <w:rPr>
          <w:rFonts w:hint="eastAsia" w:hAnsi="宋体"/>
          <w:sz w:val="24"/>
        </w:rPr>
        <w:t>并</w:t>
      </w:r>
      <w:r>
        <w:rPr>
          <w:rFonts w:hAnsi="宋体"/>
          <w:sz w:val="24"/>
        </w:rPr>
        <w:t>集中递交磋商小组。供应商报价单应当由法定代表人或者其代理人签字确认，否则无效。</w:t>
      </w:r>
    </w:p>
    <w:p w14:paraId="0D2FC86D">
      <w:pPr>
        <w:wordWrap/>
        <w:spacing w:line="300" w:lineRule="auto"/>
        <w:ind w:left="-426" w:firstLine="480" w:firstLineChars="200"/>
        <w:rPr>
          <w:rFonts w:hAnsi="宋体"/>
          <w:sz w:val="24"/>
          <w:lang w:eastAsia="zh-CN"/>
        </w:rPr>
      </w:pPr>
      <w:r>
        <w:rPr>
          <w:rFonts w:hint="eastAsia" w:hAnsi="宋体"/>
          <w:sz w:val="24"/>
          <w:lang w:val="en-US" w:eastAsia="zh-CN"/>
        </w:rPr>
        <w:t>3</w:t>
      </w:r>
      <w:r>
        <w:rPr>
          <w:rFonts w:hint="eastAsia" w:hAnsi="宋体"/>
          <w:sz w:val="24"/>
          <w:lang w:eastAsia="zh-CN"/>
        </w:rPr>
        <w:t>.6.1报价如果出现下列不一致的，可按以下原则进行修改：</w:t>
      </w:r>
    </w:p>
    <w:p w14:paraId="2C6D8491">
      <w:pPr>
        <w:wordWrap/>
        <w:spacing w:line="300" w:lineRule="auto"/>
        <w:ind w:left="-426" w:firstLine="480" w:firstLineChars="200"/>
        <w:rPr>
          <w:rFonts w:hAnsi="宋体"/>
          <w:sz w:val="24"/>
          <w:lang w:eastAsia="zh-CN"/>
        </w:rPr>
      </w:pPr>
      <w:r>
        <w:rPr>
          <w:rFonts w:hint="eastAsia" w:hAnsi="宋体"/>
          <w:sz w:val="24"/>
          <w:lang w:eastAsia="zh-CN"/>
        </w:rPr>
        <w:t>（一）大写金额和小写金额不一致的，以大写金额为准，但大写金额文字存在错误的，应当先对大写金额的文字错误进行澄清、说明或者更正，再行修正。</w:t>
      </w:r>
    </w:p>
    <w:p w14:paraId="72080C0B">
      <w:pPr>
        <w:wordWrap/>
        <w:spacing w:line="300" w:lineRule="auto"/>
        <w:ind w:left="-426" w:firstLine="480" w:firstLineChars="200"/>
        <w:rPr>
          <w:rFonts w:hAnsi="宋体"/>
          <w:sz w:val="24"/>
          <w:lang w:eastAsia="zh-CN"/>
        </w:rPr>
      </w:pPr>
      <w:r>
        <w:rPr>
          <w:rFonts w:hint="eastAsia" w:hAnsi="宋体"/>
          <w:sz w:val="24"/>
          <w:lang w:eastAsia="zh-CN"/>
        </w:rPr>
        <w:t>（二）总价金额与按单价汇总金额不一致的，以单价金额计算结果为准，但单价或者单价汇总金额存在数字或者文字错误的，应当先对数字或者文字错误进行澄清、说明或者更正，再行修正。</w:t>
      </w:r>
    </w:p>
    <w:p w14:paraId="4CAD8C24">
      <w:pPr>
        <w:wordWrap/>
        <w:spacing w:line="300" w:lineRule="auto"/>
        <w:ind w:left="-426" w:firstLine="480" w:firstLineChars="200"/>
        <w:rPr>
          <w:rFonts w:hAnsi="宋体"/>
          <w:sz w:val="24"/>
          <w:lang w:eastAsia="zh-CN"/>
        </w:rPr>
      </w:pPr>
      <w:r>
        <w:rPr>
          <w:rFonts w:hint="eastAsia" w:hAnsi="宋体"/>
          <w:sz w:val="24"/>
          <w:lang w:eastAsia="zh-CN"/>
        </w:rPr>
        <w:t>（三）单价金额小数点或者百分比有明显错位的，以总价为准，修正单价。</w:t>
      </w:r>
    </w:p>
    <w:p w14:paraId="3A7D3175">
      <w:pPr>
        <w:wordWrap/>
        <w:spacing w:line="300" w:lineRule="auto"/>
        <w:ind w:left="-426" w:firstLine="480" w:firstLineChars="200"/>
        <w:rPr>
          <w:rFonts w:hAnsi="宋体"/>
          <w:sz w:val="24"/>
          <w:lang w:eastAsia="zh-CN"/>
        </w:rPr>
      </w:pPr>
      <w:r>
        <w:rPr>
          <w:rFonts w:hint="eastAsia" w:hAnsi="宋体"/>
          <w:sz w:val="24"/>
          <w:lang w:eastAsia="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3AA79D4">
      <w:pPr>
        <w:wordWrap/>
        <w:spacing w:line="300" w:lineRule="auto"/>
        <w:ind w:left="-426" w:firstLine="480" w:firstLineChars="200"/>
        <w:rPr>
          <w:rFonts w:hAnsi="宋体"/>
          <w:sz w:val="24"/>
          <w:lang w:eastAsia="zh-CN"/>
        </w:rPr>
      </w:pPr>
      <w:r>
        <w:rPr>
          <w:rFonts w:hint="eastAsia" w:hAnsi="宋体"/>
          <w:sz w:val="24"/>
          <w:lang w:eastAsia="zh-CN"/>
        </w:rPr>
        <w:t>不得未经澄清、说明或者更正，直接将供应商响应文件作为无效处理。对不同文字文本响应文件的解释发生异议的，以中文文本为准。</w:t>
      </w:r>
    </w:p>
    <w:p w14:paraId="70A580EC">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.7</w:t>
      </w:r>
      <w:r>
        <w:rPr>
          <w:rFonts w:hAnsi="宋体"/>
          <w:sz w:val="24"/>
        </w:rPr>
        <w:t>在磋商中，磋商的任何一方不得透露</w:t>
      </w:r>
      <w:r>
        <w:rPr>
          <w:rFonts w:hint="eastAsia" w:hAnsi="宋体"/>
          <w:bCs/>
          <w:sz w:val="24"/>
        </w:rPr>
        <w:t>应当处于保密阶段的且</w:t>
      </w:r>
      <w:r>
        <w:rPr>
          <w:rFonts w:hAnsi="宋体"/>
          <w:sz w:val="24"/>
        </w:rPr>
        <w:t>与磋商有关的其他供应商的信息。</w:t>
      </w:r>
    </w:p>
    <w:p w14:paraId="0D59FCE9">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.8</w:t>
      </w:r>
      <w:r>
        <w:rPr>
          <w:rFonts w:hAnsi="宋体"/>
          <w:sz w:val="24"/>
        </w:rPr>
        <w:t>经磋商确定</w:t>
      </w:r>
      <w:r>
        <w:rPr>
          <w:rFonts w:hint="eastAsia" w:hAnsi="宋体"/>
          <w:sz w:val="24"/>
          <w:lang w:eastAsia="zh-CN"/>
        </w:rPr>
        <w:t>满足</w:t>
      </w:r>
      <w:r>
        <w:rPr>
          <w:rFonts w:hAnsi="宋体"/>
          <w:sz w:val="24"/>
        </w:rPr>
        <w:t>采购需求的供应商后，由磋商小组采用综合评分法对</w:t>
      </w:r>
      <w:r>
        <w:rPr>
          <w:rFonts w:hint="eastAsia" w:hAnsi="宋体"/>
          <w:sz w:val="24"/>
          <w:lang w:eastAsia="zh-CN"/>
        </w:rPr>
        <w:t>提交最后报价</w:t>
      </w:r>
      <w:r>
        <w:rPr>
          <w:rFonts w:hAnsi="宋体"/>
          <w:sz w:val="24"/>
        </w:rPr>
        <w:t>供应商的响应文件进行综合评分。</w:t>
      </w:r>
    </w:p>
    <w:p w14:paraId="2A209856">
      <w:pPr>
        <w:wordWrap/>
        <w:spacing w:line="300" w:lineRule="auto"/>
        <w:ind w:left="-426" w:firstLine="480" w:firstLineChars="200"/>
        <w:rPr>
          <w:rFonts w:hAnsi="宋体"/>
          <w:bCs/>
          <w:sz w:val="24"/>
        </w:rPr>
      </w:pPr>
      <w:r>
        <w:rPr>
          <w:rFonts w:hint="eastAsia" w:hAnsi="宋体"/>
          <w:bCs/>
          <w:sz w:val="24"/>
          <w:lang w:val="en-US" w:eastAsia="zh-CN"/>
        </w:rPr>
        <w:t>3</w:t>
      </w:r>
      <w:r>
        <w:rPr>
          <w:rFonts w:hint="eastAsia" w:hAnsi="宋体"/>
          <w:bCs/>
          <w:sz w:val="24"/>
          <w:lang w:eastAsia="zh-CN"/>
        </w:rPr>
        <w:t>.9</w:t>
      </w:r>
      <w:r>
        <w:rPr>
          <w:rFonts w:hint="eastAsia" w:hAnsi="宋体"/>
          <w:bCs/>
          <w:sz w:val="24"/>
        </w:rPr>
        <w:t>本项目采用：综合评分法。</w:t>
      </w:r>
    </w:p>
    <w:p w14:paraId="49B94FA9">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.10</w:t>
      </w:r>
      <w:r>
        <w:rPr>
          <w:rFonts w:hint="eastAsia" w:hAnsi="宋体"/>
          <w:sz w:val="24"/>
        </w:rPr>
        <w:t>评审委员会成员应当根据自身专业情况对每个有效供应商的响应文件进行独立评分，加权汇总每项评分因素的得分，得出每个有效供应商的总分。</w:t>
      </w:r>
    </w:p>
    <w:p w14:paraId="2012E60A">
      <w:pPr>
        <w:wordWrap/>
        <w:spacing w:line="300" w:lineRule="auto"/>
        <w:ind w:left="-426" w:firstLine="480" w:firstLineChars="200"/>
        <w:rPr>
          <w:rFonts w:hAnsi="宋体"/>
          <w:sz w:val="24"/>
          <w:lang w:eastAsia="zh-CN"/>
        </w:rPr>
      </w:pPr>
      <w:r>
        <w:rPr>
          <w:rFonts w:hint="eastAsia" w:hAnsi="宋体"/>
          <w:sz w:val="24"/>
          <w:lang w:val="en-US" w:eastAsia="zh-CN"/>
        </w:rPr>
        <w:t>3</w:t>
      </w:r>
      <w:r>
        <w:rPr>
          <w:rFonts w:hint="eastAsia" w:hAnsi="宋体"/>
          <w:sz w:val="24"/>
          <w:lang w:eastAsia="zh-CN"/>
        </w:rPr>
        <w:t>.11</w:t>
      </w:r>
      <w:r>
        <w:rPr>
          <w:rFonts w:hint="eastAsia" w:hAnsi="宋体"/>
          <w:sz w:val="24"/>
        </w:rPr>
        <w:t>综合评分明细表的制定以科学合理、降低评委会自由裁量权为原则。</w:t>
      </w:r>
    </w:p>
    <w:p w14:paraId="78BC0FB6">
      <w:pPr>
        <w:wordWrap/>
        <w:spacing w:line="300" w:lineRule="auto"/>
        <w:ind w:left="-426" w:firstLine="482" w:firstLineChars="200"/>
        <w:rPr>
          <w:rFonts w:asciiTheme="minorEastAsia" w:hAnsiTheme="minorEastAsia" w:eastAsiaTheme="minorEastAsia"/>
          <w:b/>
          <w:sz w:val="24"/>
          <w:lang w:eastAsia="zh-CN"/>
        </w:rPr>
      </w:pPr>
      <w:r>
        <w:rPr>
          <w:rFonts w:hint="eastAsia" w:hAnsi="宋体"/>
          <w:b/>
          <w:sz w:val="24"/>
          <w:lang w:val="en-US" w:eastAsia="zh-CN"/>
        </w:rPr>
        <w:t>3</w:t>
      </w:r>
      <w:r>
        <w:rPr>
          <w:rFonts w:hint="eastAsia" w:hAnsi="宋体"/>
          <w:b/>
          <w:sz w:val="24"/>
          <w:lang w:eastAsia="zh-CN"/>
        </w:rPr>
        <w:t>.11.1</w:t>
      </w:r>
      <w:r>
        <w:rPr>
          <w:rFonts w:asciiTheme="minorEastAsia" w:hAnsiTheme="minorEastAsia" w:eastAsiaTheme="minorEastAsia"/>
          <w:b/>
          <w:sz w:val="24"/>
        </w:rPr>
        <w:t>综合评分办法</w:t>
      </w:r>
      <w:r>
        <w:rPr>
          <w:rFonts w:hint="eastAsia" w:asciiTheme="minorEastAsia" w:hAnsiTheme="minorEastAsia" w:eastAsiaTheme="minorEastAsia"/>
          <w:b/>
          <w:sz w:val="24"/>
          <w:lang w:eastAsia="zh-CN"/>
        </w:rPr>
        <w:t>：</w:t>
      </w:r>
    </w:p>
    <w:p w14:paraId="0900E901">
      <w:pPr>
        <w:widowControl/>
        <w:wordWrap/>
        <w:spacing w:line="300" w:lineRule="auto"/>
        <w:ind w:left="-426" w:leftChars="-213"/>
        <w:jc w:val="left"/>
        <w:rPr>
          <w:rFonts w:asciiTheme="minorEastAsia" w:hAnsiTheme="minorEastAsia" w:eastAsiaTheme="minorEastAsia"/>
          <w:sz w:val="24"/>
          <w:lang w:eastAsia="zh-CN"/>
        </w:rPr>
      </w:pPr>
    </w:p>
    <w:tbl>
      <w:tblPr>
        <w:tblStyle w:val="5"/>
        <w:tblW w:w="854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305"/>
        <w:gridCol w:w="675"/>
        <w:gridCol w:w="4313"/>
        <w:gridCol w:w="1807"/>
      </w:tblGrid>
      <w:tr w14:paraId="2AA9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44" w:type="dxa"/>
            <w:vAlign w:val="center"/>
          </w:tcPr>
          <w:p w14:paraId="4B4850FC">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1305" w:type="dxa"/>
            <w:vAlign w:val="center"/>
          </w:tcPr>
          <w:p w14:paraId="71C9FA97">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评分因素</w:t>
            </w:r>
          </w:p>
          <w:p w14:paraId="2D9420A7">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及权重</w:t>
            </w:r>
          </w:p>
        </w:tc>
        <w:tc>
          <w:tcPr>
            <w:tcW w:w="675" w:type="dxa"/>
            <w:vAlign w:val="center"/>
          </w:tcPr>
          <w:p w14:paraId="26D4B0E5">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分值</w:t>
            </w:r>
          </w:p>
        </w:tc>
        <w:tc>
          <w:tcPr>
            <w:tcW w:w="4313" w:type="dxa"/>
            <w:vAlign w:val="center"/>
          </w:tcPr>
          <w:p w14:paraId="47218CAA">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评分标准</w:t>
            </w:r>
          </w:p>
        </w:tc>
        <w:tc>
          <w:tcPr>
            <w:tcW w:w="1807" w:type="dxa"/>
            <w:vAlign w:val="center"/>
          </w:tcPr>
          <w:p w14:paraId="20F6689D">
            <w:pPr>
              <w:spacing w:line="276" w:lineRule="auto"/>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说    明</w:t>
            </w:r>
          </w:p>
        </w:tc>
      </w:tr>
      <w:tr w14:paraId="76F8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44" w:type="dxa"/>
            <w:vAlign w:val="center"/>
          </w:tcPr>
          <w:p w14:paraId="7B41E883">
            <w:pPr>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w:t>
            </w:r>
          </w:p>
        </w:tc>
        <w:tc>
          <w:tcPr>
            <w:tcW w:w="1305" w:type="dxa"/>
            <w:vAlign w:val="center"/>
          </w:tcPr>
          <w:p w14:paraId="34055311">
            <w:pPr>
              <w:ind w:left="0" w:leftChars="0" w:right="0" w:rightChars="0" w:firstLine="0" w:firstLineChars="0"/>
              <w:jc w:val="center"/>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报价</w:t>
            </w:r>
          </w:p>
          <w:p w14:paraId="41985F57">
            <w:pPr>
              <w:ind w:left="0" w:leftChars="0" w:right="0" w:rightChars="0" w:firstLine="0" w:firstLineChars="0"/>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20%</w:t>
            </w:r>
          </w:p>
        </w:tc>
        <w:tc>
          <w:tcPr>
            <w:tcW w:w="675" w:type="dxa"/>
            <w:vAlign w:val="center"/>
          </w:tcPr>
          <w:p w14:paraId="66E43E5F">
            <w:pPr>
              <w:ind w:left="0" w:leftChars="0" w:right="0" w:rightChars="0" w:firstLine="0" w:firstLineChars="0"/>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20</w:t>
            </w:r>
          </w:p>
        </w:tc>
        <w:tc>
          <w:tcPr>
            <w:tcW w:w="4313" w:type="dxa"/>
          </w:tcPr>
          <w:p w14:paraId="7335292C">
            <w:pPr>
              <w:rPr>
                <w:rFonts w:hAnsi="宋体"/>
                <w:color w:val="000000" w:themeColor="text1"/>
                <w:sz w:val="24"/>
                <w:lang w:eastAsia="zh-CN"/>
                <w14:textFill>
                  <w14:solidFill>
                    <w14:schemeClr w14:val="tx1"/>
                  </w14:solidFill>
                </w14:textFill>
              </w:rPr>
            </w:pPr>
          </w:p>
          <w:p w14:paraId="6855EA3C">
            <w:pP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以最终最低有效磋商报价为基准价，报价得分=（磋商基准价/最终磋商报价）×价格权值×100；</w:t>
            </w:r>
          </w:p>
          <w:p w14:paraId="290E8B83">
            <w:pPr>
              <w:rPr>
                <w:rFonts w:hAnsi="宋体"/>
                <w:color w:val="000000" w:themeColor="text1"/>
                <w:sz w:val="24"/>
                <w:lang w:eastAsia="zh-CN"/>
                <w14:textFill>
                  <w14:solidFill>
                    <w14:schemeClr w14:val="tx1"/>
                  </w14:solidFill>
                </w14:textFill>
              </w:rPr>
            </w:pPr>
          </w:p>
        </w:tc>
        <w:tc>
          <w:tcPr>
            <w:tcW w:w="1807" w:type="dxa"/>
            <w:vAlign w:val="center"/>
          </w:tcPr>
          <w:p w14:paraId="6AEF4555">
            <w:pPr>
              <w:rPr>
                <w:rFonts w:hAnsi="宋体"/>
                <w:color w:val="000000" w:themeColor="text1"/>
                <w:sz w:val="24"/>
                <w:lang w:eastAsia="zh-CN"/>
                <w14:textFill>
                  <w14:solidFill>
                    <w14:schemeClr w14:val="tx1"/>
                  </w14:solidFill>
                </w14:textFill>
              </w:rPr>
            </w:pPr>
          </w:p>
        </w:tc>
      </w:tr>
      <w:tr w14:paraId="6ED4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44" w:type="dxa"/>
            <w:vAlign w:val="center"/>
          </w:tcPr>
          <w:p w14:paraId="60C0E0CF">
            <w:pPr>
              <w:spacing w:line="276" w:lineRule="auto"/>
              <w:ind w:firstLine="28"/>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w:t>
            </w:r>
          </w:p>
        </w:tc>
        <w:tc>
          <w:tcPr>
            <w:tcW w:w="1305" w:type="dxa"/>
            <w:vAlign w:val="center"/>
          </w:tcPr>
          <w:p w14:paraId="0D666DA8">
            <w:pPr>
              <w:tabs>
                <w:tab w:val="left" w:pos="720"/>
              </w:tabs>
              <w:spacing w:line="400" w:lineRule="exact"/>
              <w:ind w:left="0" w:leftChars="0" w:right="0" w:rightChars="0" w:firstLine="0" w:firstLineChars="0"/>
              <w:jc w:val="center"/>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技术</w:t>
            </w:r>
            <w:r>
              <w:rPr>
                <w:rFonts w:hint="eastAsia" w:hAnsi="宋体"/>
                <w:color w:val="000000" w:themeColor="text1"/>
                <w:sz w:val="24"/>
                <w14:textFill>
                  <w14:solidFill>
                    <w14:schemeClr w14:val="tx1"/>
                  </w14:solidFill>
                </w14:textFill>
              </w:rPr>
              <w:t>要求</w:t>
            </w:r>
          </w:p>
          <w:p w14:paraId="5AD65C92">
            <w:pPr>
              <w:tabs>
                <w:tab w:val="left" w:pos="720"/>
              </w:tabs>
              <w:spacing w:line="400" w:lineRule="exact"/>
              <w:ind w:left="0" w:leftChars="0" w:right="0" w:rightChars="0" w:firstLine="0" w:firstLineChars="0"/>
              <w:jc w:val="center"/>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30</w:t>
            </w:r>
            <w:r>
              <w:rPr>
                <w:rFonts w:hint="eastAsia" w:hAnsi="宋体"/>
                <w:color w:val="000000" w:themeColor="text1"/>
                <w:sz w:val="24"/>
                <w14:textFill>
                  <w14:solidFill>
                    <w14:schemeClr w14:val="tx1"/>
                  </w14:solidFill>
                </w14:textFill>
              </w:rPr>
              <w:t>%</w:t>
            </w:r>
          </w:p>
        </w:tc>
        <w:tc>
          <w:tcPr>
            <w:tcW w:w="675" w:type="dxa"/>
            <w:vAlign w:val="center"/>
          </w:tcPr>
          <w:p w14:paraId="14E715E2">
            <w:pPr>
              <w:ind w:left="0" w:leftChars="0" w:right="0" w:rightChars="0" w:firstLine="0" w:firstLineChars="0"/>
              <w:jc w:val="center"/>
              <w:rPr>
                <w:rFonts w:hint="default"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30</w:t>
            </w:r>
          </w:p>
        </w:tc>
        <w:tc>
          <w:tcPr>
            <w:tcW w:w="4313" w:type="dxa"/>
            <w:vAlign w:val="center"/>
          </w:tcPr>
          <w:p w14:paraId="760517FD">
            <w:pPr>
              <w:numPr>
                <w:numId w:val="0"/>
              </w:numPr>
              <w:rPr>
                <w:rFonts w:hint="default" w:eastAsia="黑体"/>
                <w:lang w:val="en-US" w:eastAsia="zh-CN"/>
              </w:rPr>
            </w:pPr>
            <w:r>
              <w:rPr>
                <w:rFonts w:hint="eastAsia"/>
                <w:sz w:val="24"/>
                <w:lang w:val="en-US" w:eastAsia="zh-CN" w:bidi="ar"/>
              </w:rPr>
              <w:t>要求</w:t>
            </w:r>
            <w:r>
              <w:rPr>
                <w:rFonts w:hint="eastAsia" w:hAnsi="宋体"/>
                <w:color w:val="000000" w:themeColor="text1"/>
                <w:sz w:val="24"/>
                <w14:textFill>
                  <w14:solidFill>
                    <w14:schemeClr w14:val="tx1"/>
                  </w14:solidFill>
                </w14:textFill>
              </w:rPr>
              <w:t>完全符合、响应磋商文件要求，没有负偏离的得</w:t>
            </w:r>
            <w:r>
              <w:rPr>
                <w:rFonts w:hint="eastAsia" w:hAnsi="宋体"/>
                <w:color w:val="000000" w:themeColor="text1"/>
                <w:sz w:val="24"/>
                <w:lang w:val="en-US" w:eastAsia="zh-CN"/>
                <w14:textFill>
                  <w14:solidFill>
                    <w14:schemeClr w14:val="tx1"/>
                  </w14:solidFill>
                </w14:textFill>
              </w:rPr>
              <w:t>18</w:t>
            </w:r>
            <w:r>
              <w:rPr>
                <w:rFonts w:hint="eastAsia" w:hAnsi="宋体"/>
                <w:color w:val="000000" w:themeColor="text1"/>
                <w:sz w:val="24"/>
                <w14:textFill>
                  <w14:solidFill>
                    <w14:schemeClr w14:val="tx1"/>
                  </w14:solidFill>
                </w14:textFill>
              </w:rPr>
              <w:t>分，服务要求负偏离一项扣</w:t>
            </w:r>
            <w:r>
              <w:rPr>
                <w:rFonts w:hint="eastAsia" w:hAnsi="宋体"/>
                <w:color w:val="000000" w:themeColor="text1"/>
                <w:sz w:val="24"/>
                <w:lang w:eastAsia="zh-CN"/>
                <w14:textFill>
                  <w14:solidFill>
                    <w14:schemeClr w14:val="tx1"/>
                  </w14:solidFill>
                </w14:textFill>
              </w:rPr>
              <w:t>1</w:t>
            </w:r>
            <w:r>
              <w:rPr>
                <w:rFonts w:hint="eastAsia" w:hAnsi="宋体"/>
                <w:color w:val="000000" w:themeColor="text1"/>
                <w:sz w:val="24"/>
                <w14:textFill>
                  <w14:solidFill>
                    <w14:schemeClr w14:val="tx1"/>
                  </w14:solidFill>
                </w14:textFill>
              </w:rPr>
              <w:t>分，扣完为止。</w:t>
            </w:r>
          </w:p>
        </w:tc>
        <w:tc>
          <w:tcPr>
            <w:tcW w:w="1807" w:type="dxa"/>
            <w:vAlign w:val="center"/>
          </w:tcPr>
          <w:p w14:paraId="1BF35879">
            <w:pPr>
              <w:tabs>
                <w:tab w:val="left" w:pos="720"/>
              </w:tabs>
              <w:spacing w:line="400" w:lineRule="exact"/>
              <w:jc w:val="center"/>
              <w:rPr>
                <w:rFonts w:hAnsi="宋体"/>
                <w:color w:val="000000" w:themeColor="text1"/>
                <w:sz w:val="24"/>
                <w14:textFill>
                  <w14:solidFill>
                    <w14:schemeClr w14:val="tx1"/>
                  </w14:solidFill>
                </w14:textFill>
              </w:rPr>
            </w:pPr>
          </w:p>
        </w:tc>
      </w:tr>
      <w:tr w14:paraId="7C60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dxa"/>
            <w:vAlign w:val="center"/>
          </w:tcPr>
          <w:p w14:paraId="41BBB011">
            <w:pPr>
              <w:snapToGrid w:val="0"/>
              <w:spacing w:line="276" w:lineRule="auto"/>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3</w:t>
            </w:r>
          </w:p>
        </w:tc>
        <w:tc>
          <w:tcPr>
            <w:tcW w:w="1305" w:type="dxa"/>
            <w:vAlign w:val="center"/>
          </w:tcPr>
          <w:p w14:paraId="057FC99C">
            <w:pPr>
              <w:tabs>
                <w:tab w:val="left" w:pos="720"/>
              </w:tabs>
              <w:spacing w:line="360" w:lineRule="auto"/>
              <w:ind w:left="0" w:leftChars="0" w:right="0" w:rightChars="0" w:firstLine="0" w:firstLineChars="0"/>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实施方案</w:t>
            </w:r>
          </w:p>
          <w:p w14:paraId="2BBD8C6E">
            <w:pPr>
              <w:tabs>
                <w:tab w:val="left" w:pos="720"/>
              </w:tabs>
              <w:spacing w:line="360" w:lineRule="auto"/>
              <w:ind w:left="0" w:leftChars="0" w:right="0" w:rightChars="0" w:firstLine="0" w:firstLineChars="0"/>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20</w:t>
            </w:r>
            <w:r>
              <w:rPr>
                <w:rFonts w:hint="eastAsia" w:cs="宋体" w:asciiTheme="minorEastAsia" w:hAnsiTheme="minorEastAsia" w:eastAsiaTheme="minorEastAsia"/>
                <w:color w:val="000000" w:themeColor="text1"/>
                <w:sz w:val="24"/>
                <w14:textFill>
                  <w14:solidFill>
                    <w14:schemeClr w14:val="tx1"/>
                  </w14:solidFill>
                </w14:textFill>
              </w:rPr>
              <w:t>%</w:t>
            </w:r>
          </w:p>
        </w:tc>
        <w:tc>
          <w:tcPr>
            <w:tcW w:w="675" w:type="dxa"/>
            <w:vAlign w:val="center"/>
          </w:tcPr>
          <w:p w14:paraId="2E2917FD">
            <w:pPr>
              <w:tabs>
                <w:tab w:val="left" w:pos="720"/>
              </w:tabs>
              <w:spacing w:line="400" w:lineRule="exact"/>
              <w:ind w:left="0" w:leftChars="0" w:right="0" w:rightChars="0" w:firstLine="0" w:firstLineChars="0"/>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20</w:t>
            </w:r>
          </w:p>
        </w:tc>
        <w:tc>
          <w:tcPr>
            <w:tcW w:w="4313" w:type="dxa"/>
            <w:vAlign w:val="center"/>
          </w:tcPr>
          <w:p w14:paraId="61F94240">
            <w:pPr>
              <w:rPr>
                <w:rFonts w:cs="宋体" w:asciiTheme="minorEastAsia" w:hAnsiTheme="minorEastAsia" w:eastAsiaTheme="minorEastAsia"/>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1、</w:t>
            </w:r>
            <w:r>
              <w:rPr>
                <w:rFonts w:hint="eastAsia" w:hAnsi="宋体"/>
                <w:color w:val="000000" w:themeColor="text1"/>
                <w:sz w:val="24"/>
                <w14:textFill>
                  <w14:solidFill>
                    <w14:schemeClr w14:val="tx1"/>
                  </w14:solidFill>
                </w14:textFill>
              </w:rPr>
              <w:t>能够提供详细的</w:t>
            </w:r>
            <w:r>
              <w:rPr>
                <w:rFonts w:hint="eastAsia" w:hAnsi="宋体"/>
                <w:bCs/>
                <w:spacing w:val="6"/>
                <w:sz w:val="24"/>
              </w:rPr>
              <w:t>提供具体、完整的</w:t>
            </w:r>
            <w:r>
              <w:rPr>
                <w:rFonts w:hint="eastAsia" w:hAnsi="宋体"/>
                <w:bCs/>
                <w:spacing w:val="6"/>
                <w:sz w:val="24"/>
                <w:lang w:val="en-US" w:eastAsia="zh-CN"/>
              </w:rPr>
              <w:t>技术方案</w:t>
            </w:r>
            <w:r>
              <w:rPr>
                <w:rFonts w:hint="eastAsia" w:hAnsi="宋体"/>
                <w:bCs/>
                <w:spacing w:val="6"/>
                <w:sz w:val="24"/>
              </w:rPr>
              <w:t>，方案内容包括但不限于可供选择的模式、</w:t>
            </w:r>
            <w:r>
              <w:rPr>
                <w:rFonts w:hint="eastAsia" w:hAnsi="宋体"/>
                <w:bCs/>
                <w:spacing w:val="6"/>
                <w:sz w:val="24"/>
                <w:lang w:val="en-US" w:eastAsia="zh-CN"/>
              </w:rPr>
              <w:t>播放方式</w:t>
            </w:r>
            <w:r>
              <w:rPr>
                <w:rFonts w:hint="eastAsia" w:hAnsi="宋体"/>
                <w:bCs/>
                <w:spacing w:val="6"/>
                <w:sz w:val="24"/>
                <w:lang w:eastAsia="zh-CN"/>
              </w:rPr>
              <w:t>等</w:t>
            </w:r>
            <w:r>
              <w:rPr>
                <w:rFonts w:hint="eastAsia" w:hAnsi="宋体"/>
                <w:bCs/>
                <w:spacing w:val="6"/>
                <w:sz w:val="24"/>
              </w:rPr>
              <w:t>。</w:t>
            </w:r>
            <w:r>
              <w:rPr>
                <w:rFonts w:hint="eastAsia" w:hAnsi="宋体"/>
                <w:color w:val="000000" w:themeColor="text1"/>
                <w:sz w:val="24"/>
                <w14:textFill>
                  <w14:solidFill>
                    <w14:schemeClr w14:val="tx1"/>
                  </w14:solidFill>
                </w14:textFill>
              </w:rPr>
              <w:t>方案</w:t>
            </w:r>
            <w:r>
              <w:rPr>
                <w:rFonts w:hint="eastAsia" w:hAnsi="宋体"/>
                <w:color w:val="000000" w:themeColor="text1"/>
                <w:sz w:val="24"/>
                <w:lang w:eastAsia="zh-CN"/>
                <w14:textFill>
                  <w14:solidFill>
                    <w14:schemeClr w14:val="tx1"/>
                  </w14:solidFill>
                </w14:textFill>
              </w:rPr>
              <w:t>清晰可行得10-6.1</w:t>
            </w:r>
            <w:r>
              <w:rPr>
                <w:rFonts w:hint="eastAsia" w:hAnsi="宋体"/>
                <w:color w:val="000000" w:themeColor="text1"/>
                <w:sz w:val="24"/>
                <w14:textFill>
                  <w14:solidFill>
                    <w14:schemeClr w14:val="tx1"/>
                  </w14:solidFill>
                </w14:textFill>
              </w:rPr>
              <w:t>分；方案</w:t>
            </w:r>
            <w:r>
              <w:rPr>
                <w:rFonts w:hint="eastAsia" w:hAnsi="宋体"/>
                <w:color w:val="000000" w:themeColor="text1"/>
                <w:sz w:val="24"/>
                <w:lang w:eastAsia="zh-CN"/>
                <w14:textFill>
                  <w14:solidFill>
                    <w14:schemeClr w14:val="tx1"/>
                  </w14:solidFill>
                </w14:textFill>
              </w:rPr>
              <w:t>较为清晰可行得6-3.1</w:t>
            </w:r>
            <w:r>
              <w:rPr>
                <w:rFonts w:hint="eastAsia" w:hAnsi="宋体"/>
                <w:color w:val="000000" w:themeColor="text1"/>
                <w:sz w:val="24"/>
                <w14:textFill>
                  <w14:solidFill>
                    <w14:schemeClr w14:val="tx1"/>
                  </w14:solidFill>
                </w14:textFill>
              </w:rPr>
              <w:t>分；方案</w:t>
            </w:r>
            <w:r>
              <w:rPr>
                <w:rFonts w:hint="eastAsia" w:hAnsi="宋体"/>
                <w:color w:val="000000" w:themeColor="text1"/>
                <w:sz w:val="24"/>
                <w:lang w:eastAsia="zh-CN"/>
                <w14:textFill>
                  <w14:solidFill>
                    <w14:schemeClr w14:val="tx1"/>
                  </w14:solidFill>
                </w14:textFill>
              </w:rPr>
              <w:t>不清晰可行性较差得3-0.1分，未提供不得分。</w:t>
            </w:r>
          </w:p>
        </w:tc>
        <w:tc>
          <w:tcPr>
            <w:tcW w:w="1807" w:type="dxa"/>
            <w:vAlign w:val="center"/>
          </w:tcPr>
          <w:p w14:paraId="1C11F4FC">
            <w:pPr>
              <w:tabs>
                <w:tab w:val="left" w:pos="720"/>
              </w:tabs>
              <w:spacing w:line="400" w:lineRule="exact"/>
              <w:jc w:val="left"/>
              <w:rPr>
                <w:rFonts w:cs="宋体" w:asciiTheme="minorEastAsia" w:hAnsiTheme="minorEastAsia" w:eastAsiaTheme="minorEastAsia"/>
                <w:color w:val="000000" w:themeColor="text1"/>
                <w:sz w:val="24"/>
                <w14:textFill>
                  <w14:solidFill>
                    <w14:schemeClr w14:val="tx1"/>
                  </w14:solidFill>
                </w14:textFill>
              </w:rPr>
            </w:pPr>
          </w:p>
        </w:tc>
      </w:tr>
      <w:tr w14:paraId="1FBA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44" w:type="dxa"/>
            <w:vAlign w:val="center"/>
          </w:tcPr>
          <w:p w14:paraId="4218D9EE">
            <w:pPr>
              <w:snapToGrid w:val="0"/>
              <w:spacing w:line="276" w:lineRule="auto"/>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p>
        </w:tc>
        <w:tc>
          <w:tcPr>
            <w:tcW w:w="1305" w:type="dxa"/>
            <w:vAlign w:val="center"/>
          </w:tcPr>
          <w:p w14:paraId="032498EE">
            <w:pPr>
              <w:snapToGrid w:val="0"/>
              <w:spacing w:line="276" w:lineRule="auto"/>
              <w:ind w:left="0" w:leftChars="0" w:right="0" w:rightChars="0" w:firstLine="0" w:firstLineChars="0"/>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业绩</w:t>
            </w:r>
          </w:p>
          <w:p w14:paraId="1D4ED484">
            <w:pPr>
              <w:snapToGrid w:val="0"/>
              <w:spacing w:line="276" w:lineRule="auto"/>
              <w:ind w:left="0" w:leftChars="0" w:right="0" w:rightChars="0" w:firstLine="0" w:firstLineChars="0"/>
              <w:jc w:val="center"/>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10</w:t>
            </w:r>
            <w:r>
              <w:rPr>
                <w:rFonts w:hint="eastAsia" w:cs="宋体" w:asciiTheme="minorEastAsia" w:hAnsiTheme="minorEastAsia" w:eastAsiaTheme="minorEastAsia"/>
                <w:color w:val="000000" w:themeColor="text1"/>
                <w:sz w:val="24"/>
                <w14:textFill>
                  <w14:solidFill>
                    <w14:schemeClr w14:val="tx1"/>
                  </w14:solidFill>
                </w14:textFill>
              </w:rPr>
              <w:t>%</w:t>
            </w:r>
          </w:p>
        </w:tc>
        <w:tc>
          <w:tcPr>
            <w:tcW w:w="675" w:type="dxa"/>
            <w:vAlign w:val="center"/>
          </w:tcPr>
          <w:p w14:paraId="1CF00ADE">
            <w:pPr>
              <w:snapToGrid w:val="0"/>
              <w:spacing w:line="276" w:lineRule="auto"/>
              <w:ind w:left="0" w:leftChars="0" w:right="0" w:rightChars="0" w:firstLine="0" w:firstLineChars="0"/>
              <w:jc w:val="center"/>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10</w:t>
            </w:r>
          </w:p>
        </w:tc>
        <w:tc>
          <w:tcPr>
            <w:tcW w:w="4313" w:type="dxa"/>
            <w:vAlign w:val="center"/>
          </w:tcPr>
          <w:p w14:paraId="49346D5F">
            <w:pPr>
              <w:tabs>
                <w:tab w:val="left" w:pos="720"/>
              </w:tabs>
              <w:spacing w:line="400" w:lineRule="exact"/>
              <w:ind w:firstLine="240" w:firstLineChars="100"/>
              <w:jc w:val="left"/>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供应商具有同类项目服务业绩的1项得2分，最高得10分，未提供的不得分，以合同为准。</w:t>
            </w:r>
          </w:p>
        </w:tc>
        <w:tc>
          <w:tcPr>
            <w:tcW w:w="1807" w:type="dxa"/>
            <w:vAlign w:val="center"/>
          </w:tcPr>
          <w:p w14:paraId="65292946">
            <w:pPr>
              <w:snapToGrid w:val="0"/>
              <w:spacing w:line="276" w:lineRule="auto"/>
              <w:rPr>
                <w:rFonts w:cs="宋体" w:asciiTheme="minorEastAsia" w:hAnsiTheme="minorEastAsia" w:eastAsiaTheme="minorEastAsia"/>
                <w:color w:val="000000" w:themeColor="text1"/>
                <w:sz w:val="24"/>
                <w:lang w:eastAsia="zh-CN"/>
                <w14:textFill>
                  <w14:solidFill>
                    <w14:schemeClr w14:val="tx1"/>
                  </w14:solidFill>
                </w14:textFill>
              </w:rPr>
            </w:pPr>
          </w:p>
        </w:tc>
      </w:tr>
      <w:tr w14:paraId="07BC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44" w:type="dxa"/>
            <w:vAlign w:val="center"/>
          </w:tcPr>
          <w:p w14:paraId="6CB428E1">
            <w:pPr>
              <w:snapToGrid w:val="0"/>
              <w:spacing w:line="276" w:lineRule="auto"/>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7</w:t>
            </w:r>
          </w:p>
        </w:tc>
        <w:tc>
          <w:tcPr>
            <w:tcW w:w="1305" w:type="dxa"/>
            <w:vAlign w:val="center"/>
          </w:tcPr>
          <w:p w14:paraId="085C0EC4">
            <w:pPr>
              <w:tabs>
                <w:tab w:val="left" w:pos="720"/>
              </w:tabs>
              <w:spacing w:line="400" w:lineRule="exact"/>
              <w:ind w:left="0" w:leftChars="0" w:right="0" w:rightChars="0" w:firstLine="0" w:firstLineChars="0"/>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售后服务</w:t>
            </w:r>
          </w:p>
          <w:p w14:paraId="749D65AB">
            <w:pPr>
              <w:tabs>
                <w:tab w:val="left" w:pos="720"/>
              </w:tabs>
              <w:spacing w:line="400" w:lineRule="exact"/>
              <w:ind w:left="0" w:leftChars="0" w:right="0" w:rightChars="0" w:firstLine="0" w:firstLineChars="0"/>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20%</w:t>
            </w:r>
          </w:p>
        </w:tc>
        <w:tc>
          <w:tcPr>
            <w:tcW w:w="675" w:type="dxa"/>
            <w:vAlign w:val="center"/>
          </w:tcPr>
          <w:p w14:paraId="5C17B081">
            <w:pPr>
              <w:tabs>
                <w:tab w:val="left" w:pos="720"/>
              </w:tabs>
              <w:spacing w:line="400" w:lineRule="exact"/>
              <w:ind w:left="0" w:leftChars="0" w:right="0" w:rightChars="0" w:firstLine="0" w:firstLineChars="0"/>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20</w:t>
            </w:r>
          </w:p>
        </w:tc>
        <w:tc>
          <w:tcPr>
            <w:tcW w:w="4313" w:type="dxa"/>
            <w:vAlign w:val="center"/>
          </w:tcPr>
          <w:p w14:paraId="3F1E1EA5">
            <w:pPr>
              <w:ind w:left="-38" w:leftChars="-19" w:firstLine="240" w:firstLineChars="100"/>
              <w:rPr>
                <w:lang w:eastAsia="zh-CN"/>
              </w:rPr>
            </w:pPr>
            <w:r>
              <w:rPr>
                <w:rFonts w:hint="eastAsia" w:hAnsi="宋体" w:cs="宋体"/>
                <w:sz w:val="24"/>
                <w:lang w:eastAsia="zh-CN"/>
              </w:rPr>
              <w:t>根据供应商承诺的售后保证范围，本地化售后服务方案，售后人员组成及经验，服务响应时间</w:t>
            </w:r>
            <w:r>
              <w:rPr>
                <w:rFonts w:hint="eastAsia"/>
                <w:sz w:val="24"/>
              </w:rPr>
              <w:t>、技术支持计划及措施等</w:t>
            </w:r>
            <w:r>
              <w:rPr>
                <w:rFonts w:hint="eastAsia" w:hAnsi="宋体" w:cs="宋体"/>
                <w:sz w:val="24"/>
                <w:lang w:eastAsia="zh-CN"/>
              </w:rPr>
              <w:t>等综合分析比较评分，优的得8-4.1分，良的得4-2.1分，差的得2-0.1分，未提供不得分。</w:t>
            </w:r>
          </w:p>
        </w:tc>
        <w:tc>
          <w:tcPr>
            <w:tcW w:w="1807" w:type="dxa"/>
            <w:vAlign w:val="center"/>
          </w:tcPr>
          <w:p w14:paraId="13924FCD">
            <w:pPr>
              <w:tabs>
                <w:tab w:val="left" w:pos="720"/>
              </w:tabs>
              <w:spacing w:line="400" w:lineRule="exact"/>
              <w:rPr>
                <w:rFonts w:cs="宋体" w:asciiTheme="minorEastAsia" w:hAnsiTheme="minorEastAsia" w:eastAsiaTheme="minorEastAsia"/>
                <w:color w:val="000000" w:themeColor="text1"/>
                <w:sz w:val="24"/>
                <w:lang w:eastAsia="zh-CN"/>
                <w14:textFill>
                  <w14:solidFill>
                    <w14:schemeClr w14:val="tx1"/>
                  </w14:solidFill>
                </w14:textFill>
              </w:rPr>
            </w:pPr>
          </w:p>
        </w:tc>
      </w:tr>
    </w:tbl>
    <w:p w14:paraId="501F9E3F">
      <w:pPr>
        <w:widowControl/>
        <w:wordWrap/>
        <w:spacing w:line="300" w:lineRule="auto"/>
        <w:jc w:val="left"/>
        <w:rPr>
          <w:rFonts w:asciiTheme="minorEastAsia" w:hAnsiTheme="minorEastAsia" w:eastAsiaTheme="minorEastAsia"/>
          <w:sz w:val="24"/>
          <w:lang w:eastAsia="zh-CN"/>
        </w:rPr>
      </w:pPr>
    </w:p>
    <w:p w14:paraId="3621625B">
      <w:pPr>
        <w:widowControl/>
        <w:wordWrap/>
        <w:spacing w:line="300" w:lineRule="auto"/>
        <w:ind w:left="-426" w:leftChars="-213"/>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确定成交供应商的标准</w:t>
      </w:r>
    </w:p>
    <w:p w14:paraId="697A6A27">
      <w:pPr>
        <w:wordWrap/>
        <w:spacing w:line="300" w:lineRule="auto"/>
        <w:ind w:left="-426" w:leftChars="-213"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.1磋商小组成员应当按照客观、公正、审慎的原则进行。</w:t>
      </w:r>
    </w:p>
    <w:p w14:paraId="14DE2669">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.2供应商报价结束后，磋商小组应当根据综合评分</w:t>
      </w:r>
      <w:r>
        <w:rPr>
          <w:rFonts w:hint="eastAsia" w:asciiTheme="minorEastAsia" w:hAnsiTheme="minorEastAsia" w:eastAsiaTheme="minorEastAsia"/>
          <w:sz w:val="24"/>
          <w:lang w:eastAsia="zh-CN"/>
        </w:rPr>
        <w:t>情况进行评审。</w:t>
      </w:r>
    </w:p>
    <w:p w14:paraId="786502F6">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3评审结果汇总完成后，磋商小组拟出具磋商评审报告前，采购代理机构应当组织2名本单位工作人员，依据有关的法律制度和磋商文件对评审结果进行复核，出具复核报告。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71AFAA2C">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15F03A56">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采购代理机构复核过程中，磋商小组成员不得离开评审现场。</w:t>
      </w:r>
    </w:p>
    <w:p w14:paraId="061D48E7">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.4复核完成后，磋商小组推荐成交候选供应商，向采购代理机构出具磋商报告。</w:t>
      </w:r>
      <w:r>
        <w:rPr>
          <w:rFonts w:asciiTheme="minorEastAsia" w:hAnsiTheme="minorEastAsia" w:eastAsiaTheme="minorEastAsia"/>
          <w:sz w:val="24"/>
          <w:lang w:eastAsia="zh-CN"/>
        </w:rPr>
        <w:t>按照评审得分由高到低顺序推荐三名以上成交候选供应商。评审得分相同的，按照最终报价由低到高的顺序推荐。评审得分且最终报价相同的，按照技术指标优劣顺序推荐。</w:t>
      </w:r>
    </w:p>
    <w:p w14:paraId="650F9FA2">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4.1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30B4DA73">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4.2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7391A86">
      <w:pPr>
        <w:wordWrap/>
        <w:spacing w:line="300" w:lineRule="auto"/>
        <w:ind w:firstLine="120" w:firstLineChars="5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磋商过程中，有下列情形之一的，磋商失败：</w:t>
      </w:r>
    </w:p>
    <w:p w14:paraId="4F050EDB">
      <w:pPr>
        <w:wordWrap/>
        <w:spacing w:line="300" w:lineRule="auto"/>
        <w:ind w:left="-426" w:firstLine="480" w:firstLineChars="200"/>
        <w:rPr>
          <w:rFonts w:asciiTheme="minorEastAsia" w:hAnsiTheme="minorEastAsia" w:eastAsiaTheme="minorEastAsia"/>
          <w:sz w:val="24"/>
          <w:lang w:eastAsia="zh-CN"/>
        </w:rPr>
      </w:pPr>
      <w:r>
        <w:rPr>
          <w:rFonts w:asciiTheme="minorEastAsia" w:hAnsiTheme="minorEastAsia" w:eastAsiaTheme="minorEastAsia"/>
          <w:sz w:val="24"/>
        </w:rPr>
        <w:t>（一）通过资格审查的供应商不足三家的；</w:t>
      </w:r>
    </w:p>
    <w:p w14:paraId="5B97FCB4">
      <w:pPr>
        <w:wordWrap/>
        <w:spacing w:line="300" w:lineRule="auto"/>
        <w:ind w:left="-426" w:firstLine="480" w:firstLineChars="200"/>
        <w:rPr>
          <w:rFonts w:asciiTheme="minorEastAsia" w:hAnsiTheme="minorEastAsia" w:eastAsiaTheme="minorEastAsia"/>
          <w:sz w:val="24"/>
          <w:lang w:eastAsia="zh-CN"/>
        </w:rPr>
      </w:pPr>
      <w:r>
        <w:rPr>
          <w:rFonts w:asciiTheme="minorEastAsia" w:hAnsiTheme="minorEastAsia" w:eastAsiaTheme="minorEastAsia"/>
          <w:sz w:val="24"/>
        </w:rPr>
        <w:t>（二）参加磋商的供应商被淘汰，最终报价的供应商不足三家的；</w:t>
      </w:r>
    </w:p>
    <w:p w14:paraId="6D2F2144">
      <w:pPr>
        <w:wordWrap/>
        <w:spacing w:line="300" w:lineRule="auto"/>
        <w:ind w:left="-426" w:firstLine="480" w:firstLineChars="200"/>
        <w:rPr>
          <w:rFonts w:asciiTheme="minorEastAsia" w:hAnsiTheme="minorEastAsia" w:eastAsiaTheme="minorEastAsia"/>
          <w:sz w:val="24"/>
        </w:rPr>
      </w:pPr>
      <w:r>
        <w:rPr>
          <w:rFonts w:asciiTheme="minorEastAsia" w:hAnsiTheme="minorEastAsia" w:eastAsiaTheme="minorEastAsia"/>
          <w:sz w:val="24"/>
        </w:rPr>
        <w:t>（三）其他无法继续开展磋商或者无法成交的情形。</w:t>
      </w:r>
    </w:p>
    <w:p w14:paraId="5F72F332">
      <w:pPr>
        <w:keepNext w:val="0"/>
        <w:keepLines w:val="0"/>
        <w:pageBreakBefore w:val="0"/>
        <w:widowControl w:val="0"/>
        <w:tabs>
          <w:tab w:val="left" w:pos="4820"/>
          <w:tab w:val="left" w:pos="4962"/>
        </w:tabs>
        <w:kinsoku/>
        <w:wordWrap w:val="0"/>
        <w:overflowPunct/>
        <w:topLinePunct w:val="0"/>
        <w:autoSpaceDE w:val="0"/>
        <w:autoSpaceDN w:val="0"/>
        <w:bidi w:val="0"/>
        <w:adjustRightInd/>
        <w:snapToGrid/>
        <w:spacing w:line="240" w:lineRule="atLeast"/>
        <w:textAlignment w:val="auto"/>
        <w:rPr>
          <w:rFonts w:hint="eastAsia" w:asciiTheme="minorEastAsia" w:hAnsiTheme="minorEastAsia" w:eastAsiaTheme="minorEastAsia"/>
          <w:b/>
          <w:sz w:val="24"/>
          <w:lang w:val="en-US" w:eastAsia="zh-CN"/>
        </w:rPr>
      </w:pPr>
      <w:r>
        <w:rPr>
          <w:rFonts w:asciiTheme="minorEastAsia" w:hAnsiTheme="minorEastAsia" w:eastAsiaTheme="minorEastAsia"/>
          <w:sz w:val="24"/>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2"/>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zcxM2M4MjRkYjE2Y2JkZWRmMDZhMjNhOTBiZmYifQ=="/>
  </w:docVars>
  <w:rsids>
    <w:rsidRoot w:val="3F211CF1"/>
    <w:rsid w:val="02FE20CD"/>
    <w:rsid w:val="10D51B29"/>
    <w:rsid w:val="3F211CF1"/>
    <w:rsid w:val="3FD633C9"/>
    <w:rsid w:val="6129748A"/>
    <w:rsid w:val="759A06B1"/>
    <w:rsid w:val="7880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宋体" w:hAnsi="Times New Roman" w:eastAsia="宋体" w:cs="Times New Roman"/>
      <w:kern w:val="2"/>
      <w:szCs w:val="24"/>
      <w:lang w:val="en-US" w:eastAsia="ko-KR" w:bidi="ar-SA"/>
    </w:rPr>
  </w:style>
  <w:style w:type="paragraph" w:styleId="2">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Normal (Web)"/>
    <w:basedOn w:val="1"/>
    <w:unhideWhenUsed/>
    <w:qFormat/>
    <w:uiPriority w:val="0"/>
    <w:pPr>
      <w:widowControl/>
      <w:wordWrap/>
      <w:autoSpaceDE/>
      <w:autoSpaceDN/>
      <w:spacing w:before="100" w:beforeAutospacing="1" w:after="100" w:afterAutospacing="1"/>
      <w:jc w:val="left"/>
    </w:pPr>
    <w:rPr>
      <w:rFonts w:hAnsi="宋体" w:cs="宋体"/>
      <w:kern w:val="0"/>
      <w:sz w:val="24"/>
      <w:lang w:eastAsia="zh-CN"/>
    </w:rPr>
  </w:style>
  <w:style w:type="character" w:styleId="7">
    <w:name w:val="Strong"/>
    <w:basedOn w:val="6"/>
    <w:qFormat/>
    <w:uiPriority w:val="0"/>
    <w:rPr>
      <w:b/>
    </w:rPr>
  </w:style>
  <w:style w:type="paragraph" w:customStyle="1" w:styleId="8">
    <w:name w:val="正文首行缩进两字符"/>
    <w:basedOn w:val="1"/>
    <w:qFormat/>
    <w:uiPriority w:val="0"/>
    <w:pPr>
      <w:spacing w:line="360" w:lineRule="auto"/>
      <w:ind w:firstLine="200" w:firstLineChars="200"/>
    </w:pPr>
    <w:rPr>
      <w:lang w:eastAsia="zh-CN"/>
    </w:r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2024-12-06T08:27:00Z</dcterms:created>
  <dc:creator>王娜</dc:creator>
  <cp:lastModifiedBy>王娜</cp:lastModifiedBy>
  <dcterms:modified xsi:type="dcterms:W3CDTF">2024-12-06T09:01:38Z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661CF3B65CD744269B42B40783E10AB9_11</vt:lpwstr>
  </property>
</Properties>
</file>