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760" w:lineRule="exact"/>
        <w:jc w:val="center"/>
        <w:rPr>
          <w:rFonts w:hint="eastAsia" w:ascii="方正小标宋简体" w:hAnsi="华文中宋" w:eastAsia="方正小标宋简体" w:cs="华文中宋"/>
          <w:bCs/>
          <w:sz w:val="44"/>
          <w:szCs w:val="44"/>
          <w:shd w:val="clear" w:color="auto" w:fill="FFFFFF"/>
          <w:lang w:val="en-US" w:eastAsia="zh-CN"/>
        </w:rPr>
      </w:pPr>
      <w:r>
        <w:rPr>
          <w:rFonts w:hint="eastAsia" w:ascii="方正小标宋简体" w:hAnsi="华文中宋" w:eastAsia="方正小标宋简体" w:cs="华文中宋"/>
          <w:bCs/>
          <w:sz w:val="44"/>
          <w:szCs w:val="44"/>
          <w:shd w:val="clear" w:color="auto" w:fill="FFFFFF"/>
          <w:lang w:val="en-US" w:eastAsia="zh-CN"/>
        </w:rPr>
        <w:t>人文社会发展学院</w:t>
      </w:r>
    </w:p>
    <w:p>
      <w:pPr>
        <w:pStyle w:val="2"/>
        <w:shd w:val="clear" w:color="auto" w:fill="FFFFFF"/>
        <w:spacing w:line="760" w:lineRule="exact"/>
        <w:jc w:val="center"/>
        <w:rPr>
          <w:rFonts w:hint="eastAsia" w:ascii="方正小标宋简体" w:hAnsi="华文中宋" w:eastAsia="方正小标宋简体" w:cs="华文中宋"/>
          <w:bCs/>
          <w:sz w:val="44"/>
          <w:szCs w:val="44"/>
          <w:shd w:val="clear" w:color="auto" w:fill="FFFFFF"/>
        </w:rPr>
      </w:pPr>
      <w:r>
        <w:rPr>
          <w:rFonts w:hint="eastAsia" w:ascii="方正小标宋简体" w:hAnsi="华文中宋" w:eastAsia="方正小标宋简体" w:cs="华文中宋"/>
          <w:bCs/>
          <w:sz w:val="44"/>
          <w:szCs w:val="44"/>
          <w:shd w:val="clear" w:color="auto" w:fill="FFFFFF"/>
        </w:rPr>
        <w:t>一流本科课程建设实施方案</w:t>
      </w:r>
    </w:p>
    <w:p>
      <w:pPr>
        <w:spacing w:line="560" w:lineRule="exact"/>
        <w:ind w:firstLine="640"/>
        <w:jc w:val="left"/>
        <w:rPr>
          <w:rFonts w:ascii="仿宋" w:hAnsi="仿宋" w:cs="仿宋"/>
          <w:szCs w:val="32"/>
        </w:rPr>
      </w:pPr>
    </w:p>
    <w:p>
      <w:pPr>
        <w:spacing w:line="560" w:lineRule="exact"/>
        <w:ind w:firstLine="640"/>
        <w:jc w:val="left"/>
        <w:rPr>
          <w:rFonts w:hint="eastAsia" w:ascii="仿宋" w:hAnsi="仿宋" w:cs="仿宋"/>
          <w:szCs w:val="32"/>
        </w:rPr>
      </w:pPr>
      <w:r>
        <w:rPr>
          <w:rFonts w:hint="eastAsia" w:ascii="仿宋" w:hAnsi="仿宋" w:cs="仿宋"/>
          <w:szCs w:val="32"/>
        </w:rPr>
        <w:t>为进一步提升课程建设水平，</w:t>
      </w:r>
      <w:r>
        <w:rPr>
          <w:rFonts w:hint="eastAsia" w:ascii="仿宋" w:hAnsi="仿宋" w:cs="仿宋"/>
          <w:szCs w:val="32"/>
          <w:lang w:eastAsia="zh-CN"/>
        </w:rPr>
        <w:t>提高本科生培养质量。</w:t>
      </w:r>
      <w:r>
        <w:rPr>
          <w:rFonts w:hint="eastAsia" w:ascii="仿宋" w:hAnsi="仿宋" w:cs="仿宋"/>
          <w:szCs w:val="32"/>
          <w:lang w:val="en-US" w:eastAsia="zh-CN"/>
        </w:rPr>
        <w:t>根据</w:t>
      </w:r>
      <w:r>
        <w:rPr>
          <w:rFonts w:hint="eastAsia" w:ascii="仿宋" w:hAnsi="仿宋" w:cs="仿宋"/>
          <w:szCs w:val="32"/>
        </w:rPr>
        <w:t>教育部《关于一流本科课程建设的实施意见》文件精神</w:t>
      </w:r>
      <w:r>
        <w:rPr>
          <w:rFonts w:hint="eastAsia" w:ascii="仿宋" w:hAnsi="仿宋" w:cs="仿宋"/>
          <w:szCs w:val="32"/>
          <w:lang w:eastAsia="zh-CN"/>
        </w:rPr>
        <w:t>。按照学校</w:t>
      </w:r>
      <w:r>
        <w:rPr>
          <w:rFonts w:hint="eastAsia" w:ascii="仿宋" w:hAnsi="仿宋" w:cs="仿宋"/>
          <w:szCs w:val="32"/>
        </w:rPr>
        <w:t>《</w:t>
      </w:r>
      <w:r>
        <w:rPr>
          <w:rFonts w:hint="eastAsia" w:ascii="仿宋" w:hAnsi="仿宋" w:cs="仿宋"/>
          <w:szCs w:val="32"/>
          <w:lang w:eastAsia="zh-CN"/>
        </w:rPr>
        <w:t>西北农林科技大学</w:t>
      </w:r>
      <w:r>
        <w:rPr>
          <w:rFonts w:hint="eastAsia" w:ascii="仿宋" w:hAnsi="仿宋" w:cs="仿宋"/>
          <w:szCs w:val="32"/>
        </w:rPr>
        <w:t>一流本科课程建设实施方案》</w:t>
      </w:r>
      <w:r>
        <w:rPr>
          <w:rFonts w:hint="eastAsia" w:ascii="仿宋" w:hAnsi="仿宋" w:cs="仿宋"/>
          <w:szCs w:val="32"/>
          <w:lang w:eastAsia="zh-CN"/>
        </w:rPr>
        <w:t>要求</w:t>
      </w:r>
      <w:r>
        <w:rPr>
          <w:rFonts w:hint="eastAsia" w:ascii="仿宋" w:hAnsi="仿宋" w:cs="仿宋"/>
          <w:szCs w:val="32"/>
        </w:rPr>
        <w:t>，特制定本方案。</w:t>
      </w:r>
    </w:p>
    <w:p>
      <w:pPr>
        <w:spacing w:before="280" w:beforeLines="50" w:after="280" w:afterLines="50" w:line="560" w:lineRule="exact"/>
        <w:ind w:firstLine="641"/>
        <w:jc w:val="left"/>
        <w:rPr>
          <w:rFonts w:ascii="黑体" w:hAnsi="黑体" w:eastAsia="黑体" w:cs="黑体"/>
          <w:szCs w:val="32"/>
        </w:rPr>
      </w:pPr>
      <w:r>
        <w:rPr>
          <w:rFonts w:hint="eastAsia" w:ascii="黑体" w:hAnsi="黑体" w:eastAsia="黑体" w:cs="黑体"/>
          <w:szCs w:val="32"/>
        </w:rPr>
        <w:t>一、指导思想</w:t>
      </w:r>
      <w:bookmarkStart w:id="0" w:name="_GoBack"/>
      <w:bookmarkEnd w:id="0"/>
    </w:p>
    <w:p>
      <w:pPr>
        <w:spacing w:line="560" w:lineRule="exact"/>
        <w:ind w:firstLine="640"/>
        <w:jc w:val="left"/>
        <w:rPr>
          <w:rFonts w:hint="eastAsia" w:ascii="仿宋" w:hAnsi="仿宋" w:cs="仿宋"/>
          <w:szCs w:val="32"/>
        </w:rPr>
      </w:pPr>
      <w:r>
        <w:rPr>
          <w:rFonts w:hint="eastAsia" w:ascii="仿宋" w:hAnsi="仿宋" w:cs="仿宋"/>
          <w:szCs w:val="32"/>
        </w:rPr>
        <w:t>以习近平新时代中国特色社会主义思想为指导，全面贯彻落实党的十九大精神、全国教育大会精神，夯实立德树人根本任务，坚持“以本为本”，推进“四个回归”，深入挖掘各类课程和教学方式中包含的思想政治元素，聚焦一流本科教育，建设一批适应新时代要求和新</w:t>
      </w:r>
      <w:r>
        <w:rPr>
          <w:rFonts w:hint="eastAsia" w:ascii="仿宋" w:hAnsi="仿宋" w:cs="仿宋"/>
          <w:szCs w:val="32"/>
          <w:lang w:eastAsia="zh-CN"/>
        </w:rPr>
        <w:t>文</w:t>
      </w:r>
      <w:r>
        <w:rPr>
          <w:rFonts w:hint="eastAsia" w:ascii="仿宋" w:hAnsi="仿宋" w:cs="仿宋"/>
          <w:szCs w:val="32"/>
        </w:rPr>
        <w:t>科建设需求的一流课程，示范引领</w:t>
      </w:r>
      <w:r>
        <w:rPr>
          <w:rFonts w:hint="eastAsia" w:ascii="仿宋" w:hAnsi="仿宋" w:cs="仿宋"/>
          <w:szCs w:val="32"/>
          <w:lang w:eastAsia="zh-CN"/>
        </w:rPr>
        <w:t>院内</w:t>
      </w:r>
      <w:r>
        <w:rPr>
          <w:rFonts w:hint="eastAsia" w:ascii="仿宋" w:hAnsi="仿宋" w:cs="仿宋"/>
          <w:szCs w:val="32"/>
        </w:rPr>
        <w:t>其他课程建设，构建高质量课程体系，全面提高教育教学质量。</w:t>
      </w:r>
    </w:p>
    <w:p>
      <w:pPr>
        <w:spacing w:before="280" w:beforeLines="50" w:after="280" w:afterLines="50" w:line="560" w:lineRule="exact"/>
        <w:ind w:firstLine="641"/>
        <w:jc w:val="left"/>
        <w:rPr>
          <w:rFonts w:hint="eastAsia" w:ascii="黑体" w:hAnsi="黑体" w:eastAsia="黑体" w:cs="黑体"/>
          <w:szCs w:val="32"/>
          <w:lang w:eastAsia="zh-CN"/>
        </w:rPr>
      </w:pPr>
      <w:r>
        <w:rPr>
          <w:rFonts w:hint="eastAsia" w:ascii="黑体" w:hAnsi="黑体" w:eastAsia="黑体" w:cs="黑体"/>
          <w:szCs w:val="32"/>
          <w:lang w:eastAsia="zh-CN"/>
        </w:rPr>
        <w:t>二、组织机构</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学院成立一流本科课程建设工作小组，指导并实施一流本科课程建设工作。 </w:t>
      </w:r>
    </w:p>
    <w:p>
      <w:pPr>
        <w:keepNext w:val="0"/>
        <w:keepLines w:val="0"/>
        <w:pageBreakBefore w:val="0"/>
        <w:widowControl/>
        <w:kinsoku/>
        <w:wordWrap/>
        <w:overflowPunct/>
        <w:topLinePunct w:val="0"/>
        <w:autoSpaceDE/>
        <w:autoSpaceDN/>
        <w:bidi w:val="0"/>
        <w:adjustRightInd/>
        <w:snapToGrid w:val="0"/>
        <w:spacing w:line="360" w:lineRule="auto"/>
        <w:ind w:left="2" w:firstLine="640" w:firstLineChars="200"/>
        <w:jc w:val="left"/>
        <w:textAlignment w:val="auto"/>
        <w:rPr>
          <w:rFonts w:hint="eastAsia" w:ascii="仿宋GB2312" w:hAnsi="仿宋GB2312" w:eastAsia="仿宋GB2312" w:cs="仿宋GB2312"/>
          <w:kern w:val="0"/>
          <w:sz w:val="32"/>
          <w:szCs w:val="32"/>
          <w:lang w:eastAsia="zh-CN" w:bidi="ar"/>
        </w:rPr>
      </w:pPr>
      <w:r>
        <w:rPr>
          <w:rFonts w:hint="eastAsia" w:ascii="仿宋GB2312" w:hAnsi="仿宋GB2312" w:eastAsia="仿宋GB2312" w:cs="仿宋GB2312"/>
          <w:kern w:val="0"/>
          <w:sz w:val="32"/>
          <w:szCs w:val="32"/>
          <w:lang w:bidi="ar"/>
        </w:rPr>
        <w:t>组  长：</w:t>
      </w:r>
      <w:r>
        <w:rPr>
          <w:rFonts w:hint="eastAsia" w:ascii="仿宋GB2312" w:hAnsi="仿宋GB2312" w:eastAsia="仿宋GB2312" w:cs="仿宋GB2312"/>
          <w:kern w:val="0"/>
          <w:sz w:val="32"/>
          <w:szCs w:val="32"/>
          <w:lang w:eastAsia="zh-CN" w:bidi="ar"/>
        </w:rPr>
        <w:t>朱宏斌</w:t>
      </w:r>
      <w:r>
        <w:rPr>
          <w:rFonts w:hint="eastAsia" w:ascii="仿宋GB2312" w:hAnsi="仿宋GB2312" w:eastAsia="仿宋GB2312" w:cs="仿宋GB2312"/>
          <w:kern w:val="0"/>
          <w:sz w:val="32"/>
          <w:szCs w:val="32"/>
          <w:lang w:val="en-US" w:eastAsia="zh-CN" w:bidi="ar"/>
        </w:rPr>
        <w:t xml:space="preserve"> </w:t>
      </w:r>
      <w:r>
        <w:rPr>
          <w:rFonts w:hint="eastAsia" w:ascii="仿宋GB2312" w:hAnsi="仿宋GB2312" w:eastAsia="仿宋GB2312" w:cs="仿宋GB2312"/>
          <w:kern w:val="0"/>
          <w:sz w:val="32"/>
          <w:szCs w:val="32"/>
          <w:lang w:eastAsia="zh-CN" w:bidi="ar"/>
        </w:rPr>
        <w:t>王德连</w:t>
      </w:r>
      <w:r>
        <w:rPr>
          <w:rFonts w:hint="eastAsia" w:ascii="仿宋GB2312" w:hAnsi="仿宋GB2312" w:eastAsia="仿宋GB2312" w:cs="仿宋GB2312"/>
          <w:kern w:val="0"/>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2" w:firstLine="640" w:firstLineChars="200"/>
        <w:jc w:val="left"/>
        <w:textAlignment w:val="auto"/>
        <w:rPr>
          <w:rFonts w:hint="eastAsia" w:ascii="仿宋GB2312" w:hAnsi="仿宋GB2312" w:eastAsia="仿宋GB2312" w:cs="仿宋GB2312"/>
          <w:kern w:val="0"/>
          <w:sz w:val="32"/>
          <w:szCs w:val="32"/>
          <w:lang w:bidi="ar"/>
        </w:rPr>
      </w:pPr>
      <w:r>
        <w:rPr>
          <w:rFonts w:hint="eastAsia" w:ascii="仿宋GB2312" w:hAnsi="仿宋GB2312" w:eastAsia="仿宋GB2312" w:cs="仿宋GB2312"/>
          <w:kern w:val="0"/>
          <w:sz w:val="32"/>
          <w:szCs w:val="32"/>
          <w:lang w:eastAsia="zh-CN" w:bidi="ar"/>
        </w:rPr>
        <w:t>副组长：</w:t>
      </w:r>
      <w:r>
        <w:rPr>
          <w:rFonts w:hint="eastAsia" w:ascii="仿宋GB2312" w:hAnsi="仿宋GB2312" w:eastAsia="仿宋GB2312" w:cs="仿宋GB2312"/>
          <w:kern w:val="0"/>
          <w:sz w:val="32"/>
          <w:szCs w:val="32"/>
          <w:lang w:val="en-US" w:eastAsia="zh-CN" w:bidi="ar"/>
        </w:rPr>
        <w:t>赵丹</w:t>
      </w:r>
      <w:r>
        <w:rPr>
          <w:rFonts w:hint="eastAsia" w:ascii="仿宋GB2312" w:hAnsi="仿宋GB2312" w:eastAsia="仿宋GB2312" w:cs="仿宋GB2312"/>
          <w:kern w:val="0"/>
          <w:sz w:val="32"/>
          <w:szCs w:val="32"/>
          <w:lang w:bidi="ar"/>
        </w:rPr>
        <w:t xml:space="preserve"> </w:t>
      </w:r>
    </w:p>
    <w:p>
      <w:pPr>
        <w:keepNext w:val="0"/>
        <w:keepLines w:val="0"/>
        <w:pageBreakBefore w:val="0"/>
        <w:kinsoku/>
        <w:wordWrap/>
        <w:overflowPunct/>
        <w:topLinePunct w:val="0"/>
        <w:autoSpaceDE/>
        <w:autoSpaceDN/>
        <w:bidi w:val="0"/>
        <w:adjustRightInd/>
        <w:spacing w:line="360" w:lineRule="auto"/>
        <w:ind w:left="1920" w:leftChars="200" w:hanging="1280" w:hangingChars="400"/>
        <w:textAlignment w:val="auto"/>
        <w:rPr>
          <w:rFonts w:hint="eastAsia" w:ascii="仿宋GB2312" w:hAnsi="仿宋GB2312" w:eastAsia="仿宋GB2312" w:cs="仿宋GB2312"/>
          <w:kern w:val="0"/>
          <w:sz w:val="32"/>
          <w:szCs w:val="32"/>
          <w:lang w:val="en-US" w:eastAsia="zh-CN" w:bidi="ar"/>
        </w:rPr>
      </w:pPr>
      <w:r>
        <w:rPr>
          <w:rFonts w:hint="eastAsia" w:ascii="仿宋GB2312" w:hAnsi="仿宋GB2312" w:eastAsia="仿宋GB2312" w:cs="仿宋GB2312"/>
          <w:kern w:val="0"/>
          <w:sz w:val="32"/>
          <w:szCs w:val="32"/>
          <w:lang w:bidi="ar"/>
        </w:rPr>
        <w:t>成  员：</w:t>
      </w:r>
      <w:r>
        <w:rPr>
          <w:rFonts w:hint="eastAsia" w:ascii="仿宋GB2312" w:hAnsi="仿宋GB2312" w:eastAsia="仿宋GB2312" w:cs="仿宋GB2312"/>
          <w:kern w:val="0"/>
          <w:sz w:val="32"/>
          <w:szCs w:val="32"/>
          <w:lang w:val="en-US" w:eastAsia="zh-CN" w:bidi="ar"/>
        </w:rPr>
        <w:t xml:space="preserve">常振山 赵晓峰 侯东丽 郭占锋 张祖庆 何得桂 </w:t>
      </w:r>
    </w:p>
    <w:p>
      <w:pPr>
        <w:keepNext w:val="0"/>
        <w:keepLines w:val="0"/>
        <w:pageBreakBefore w:val="0"/>
        <w:kinsoku/>
        <w:wordWrap/>
        <w:overflowPunct/>
        <w:topLinePunct w:val="0"/>
        <w:autoSpaceDE/>
        <w:autoSpaceDN/>
        <w:bidi w:val="0"/>
        <w:adjustRightInd/>
        <w:spacing w:line="360" w:lineRule="auto"/>
        <w:ind w:firstLine="1600" w:firstLineChars="500"/>
        <w:textAlignment w:val="auto"/>
        <w:rPr>
          <w:rFonts w:hint="default" w:ascii="仿宋" w:hAnsi="仿宋" w:eastAsia="仿宋" w:cs="仿宋"/>
          <w:sz w:val="32"/>
          <w:szCs w:val="32"/>
          <w:lang w:val="en-US" w:eastAsia="zh-CN"/>
        </w:rPr>
      </w:pPr>
      <w:r>
        <w:rPr>
          <w:rFonts w:hint="eastAsia" w:ascii="仿宋GB2312" w:hAnsi="仿宋GB2312" w:eastAsia="仿宋GB2312" w:cs="仿宋GB2312"/>
          <w:kern w:val="0"/>
          <w:sz w:val="32"/>
          <w:szCs w:val="32"/>
          <w:lang w:val="en-US" w:eastAsia="zh-CN" w:bidi="ar"/>
        </w:rPr>
        <w:t xml:space="preserve">杨乙丹 邢成举 徐春成 王  华 李荣华 王娜   </w:t>
      </w:r>
    </w:p>
    <w:p>
      <w:pPr>
        <w:widowControl/>
        <w:spacing w:before="280" w:beforeLines="50" w:after="280" w:afterLines="50" w:line="560" w:lineRule="exact"/>
        <w:ind w:firstLine="641"/>
        <w:jc w:val="left"/>
        <w:rPr>
          <w:rFonts w:hint="eastAsia" w:ascii="黑体" w:hAnsi="黑体" w:eastAsia="黑体" w:cs="黑体"/>
          <w:szCs w:val="32"/>
          <w:lang w:eastAsia="zh-CN"/>
        </w:rPr>
      </w:pPr>
      <w:r>
        <w:rPr>
          <w:rFonts w:hint="eastAsia" w:ascii="黑体" w:hAnsi="黑体" w:eastAsia="黑体" w:cs="黑体"/>
          <w:szCs w:val="32"/>
          <w:lang w:eastAsia="zh-CN"/>
        </w:rPr>
        <w:t>三</w:t>
      </w:r>
      <w:r>
        <w:rPr>
          <w:rFonts w:hint="eastAsia" w:ascii="黑体" w:hAnsi="黑体" w:eastAsia="黑体" w:cs="黑体"/>
          <w:szCs w:val="32"/>
        </w:rPr>
        <w:t>、目标任务</w:t>
      </w:r>
      <w:r>
        <w:rPr>
          <w:rFonts w:hint="eastAsia" w:ascii="黑体" w:hAnsi="黑体" w:eastAsia="黑体" w:cs="黑体"/>
          <w:szCs w:val="32"/>
          <w:lang w:eastAsia="zh-CN"/>
        </w:rPr>
        <w:t>与建设要求</w:t>
      </w:r>
    </w:p>
    <w:p>
      <w:pPr>
        <w:spacing w:line="560" w:lineRule="exact"/>
        <w:ind w:firstLine="640"/>
        <w:jc w:val="left"/>
        <w:rPr>
          <w:rFonts w:hint="eastAsia" w:ascii="仿宋_GB2312" w:hAnsi="仿宋"/>
          <w:szCs w:val="32"/>
          <w:highlight w:val="none"/>
        </w:rPr>
      </w:pPr>
      <w:r>
        <w:rPr>
          <w:rFonts w:hint="eastAsia" w:ascii="仿宋_GB2312" w:hAnsi="仿宋"/>
          <w:szCs w:val="32"/>
          <w:lang w:eastAsia="zh-CN"/>
        </w:rPr>
        <w:t>（一）</w:t>
      </w:r>
      <w:r>
        <w:rPr>
          <w:rFonts w:hint="eastAsia" w:ascii="仿宋_GB2312" w:hAnsi="仿宋"/>
          <w:szCs w:val="32"/>
        </w:rPr>
        <w:t>全面开展一流课程建设，树立课程建设新理念，推进课程改革创新，提高教师教学能力，完善以质量为导向的课程建设激励机制，形成多类型、多样化的教学内容与课程体系</w:t>
      </w:r>
      <w:r>
        <w:rPr>
          <w:rFonts w:hint="eastAsia" w:ascii="仿宋_GB2312" w:hAnsi="仿宋"/>
          <w:szCs w:val="32"/>
          <w:lang w:eastAsia="zh-CN"/>
        </w:rPr>
        <w:t>。</w:t>
      </w:r>
      <w:r>
        <w:rPr>
          <w:rFonts w:hint="eastAsia" w:ascii="仿宋_GB2312" w:hAnsi="仿宋"/>
          <w:szCs w:val="32"/>
        </w:rPr>
        <w:t>对</w:t>
      </w:r>
      <w:r>
        <w:rPr>
          <w:rFonts w:ascii="仿宋_GB2312" w:hAnsi="仿宋"/>
          <w:szCs w:val="32"/>
        </w:rPr>
        <w:t>标</w:t>
      </w:r>
      <w:r>
        <w:rPr>
          <w:rFonts w:hint="eastAsia" w:ascii="仿宋_GB2312" w:hAnsi="仿宋"/>
          <w:szCs w:val="32"/>
          <w:lang w:eastAsia="zh-CN"/>
        </w:rPr>
        <w:t>学校</w:t>
      </w:r>
      <w:r>
        <w:rPr>
          <w:rFonts w:hint="eastAsia" w:ascii="仿宋_GB2312" w:hAnsi="仿宋"/>
          <w:szCs w:val="32"/>
        </w:rPr>
        <w:t>建设任务，</w:t>
      </w:r>
      <w:r>
        <w:rPr>
          <w:rFonts w:hint="eastAsia" w:ascii="仿宋_GB2312" w:hAnsi="仿宋"/>
          <w:szCs w:val="32"/>
          <w:highlight w:val="none"/>
        </w:rPr>
        <w:t>到2022年，</w:t>
      </w:r>
      <w:r>
        <w:rPr>
          <w:rFonts w:hint="eastAsia" w:ascii="仿宋_GB2312" w:hAnsi="仿宋"/>
          <w:color w:val="000000" w:themeColor="text1"/>
          <w:szCs w:val="32"/>
          <w:highlight w:val="none"/>
          <w:lang w:val="en-US" w:eastAsia="zh-CN"/>
          <w14:textFill>
            <w14:solidFill>
              <w14:schemeClr w14:val="tx1"/>
            </w14:solidFill>
          </w14:textFill>
        </w:rPr>
        <w:t>学院</w:t>
      </w:r>
      <w:r>
        <w:rPr>
          <w:rFonts w:hint="eastAsia" w:ascii="仿宋_GB2312" w:hAnsi="仿宋"/>
          <w:color w:val="000000" w:themeColor="text1"/>
          <w:szCs w:val="32"/>
          <w:highlight w:val="none"/>
          <w14:textFill>
            <w14:solidFill>
              <w14:schemeClr w14:val="tx1"/>
            </w14:solidFill>
          </w14:textFill>
        </w:rPr>
        <w:t>计</w:t>
      </w:r>
      <w:r>
        <w:rPr>
          <w:rFonts w:hint="eastAsia" w:ascii="仿宋_GB2312" w:hAnsi="仿宋"/>
          <w:szCs w:val="32"/>
          <w:highlight w:val="none"/>
        </w:rPr>
        <w:t>划建设</w:t>
      </w:r>
      <w:r>
        <w:rPr>
          <w:rFonts w:hint="eastAsia" w:ascii="仿宋_GB2312" w:hAnsi="仿宋"/>
          <w:szCs w:val="32"/>
          <w:highlight w:val="none"/>
          <w:lang w:val="en-US" w:eastAsia="zh-CN"/>
        </w:rPr>
        <w:t>通识教育类、学科专业教育类</w:t>
      </w:r>
      <w:r>
        <w:rPr>
          <w:rFonts w:hint="eastAsia" w:ascii="仿宋_GB2312" w:hAnsi="仿宋"/>
          <w:szCs w:val="32"/>
          <w:highlight w:val="none"/>
          <w:lang w:eastAsia="zh-CN"/>
        </w:rPr>
        <w:t>、虚拟仿真实验教学项目类、综合实践等各类</w:t>
      </w:r>
      <w:r>
        <w:rPr>
          <w:rFonts w:hint="eastAsia" w:ascii="仿宋_GB2312" w:hAnsi="仿宋"/>
          <w:szCs w:val="32"/>
          <w:highlight w:val="none"/>
        </w:rPr>
        <w:t>校级一流课程</w:t>
      </w:r>
      <w:r>
        <w:rPr>
          <w:rFonts w:hint="eastAsia" w:ascii="仿宋_GB2312" w:hAnsi="仿宋"/>
          <w:szCs w:val="32"/>
          <w:highlight w:val="none"/>
          <w:lang w:val="en-US" w:eastAsia="zh-CN"/>
        </w:rPr>
        <w:t>51</w:t>
      </w:r>
      <w:r>
        <w:rPr>
          <w:rFonts w:hint="eastAsia" w:ascii="仿宋_GB2312" w:hAnsi="仿宋"/>
          <w:szCs w:val="32"/>
          <w:highlight w:val="none"/>
        </w:rPr>
        <w:t>门</w:t>
      </w:r>
      <w:r>
        <w:rPr>
          <w:rFonts w:hint="eastAsia" w:ascii="仿宋_GB2312" w:hAnsi="仿宋"/>
          <w:szCs w:val="32"/>
          <w:highlight w:val="none"/>
          <w:lang w:eastAsia="zh-CN"/>
        </w:rPr>
        <w:t>左右</w:t>
      </w:r>
      <w:r>
        <w:rPr>
          <w:rFonts w:ascii="仿宋_GB2312" w:hAnsi="仿宋"/>
          <w:szCs w:val="32"/>
          <w:highlight w:val="none"/>
        </w:rPr>
        <w:t>，</w:t>
      </w:r>
      <w:r>
        <w:rPr>
          <w:rFonts w:hint="eastAsia" w:ascii="仿宋_GB2312" w:hAnsi="仿宋"/>
          <w:szCs w:val="32"/>
          <w:highlight w:val="none"/>
          <w:lang w:eastAsia="zh-CN"/>
        </w:rPr>
        <w:t>并推荐优质课程积极申报省级、国家级一流课程</w:t>
      </w:r>
      <w:r>
        <w:rPr>
          <w:rFonts w:hint="eastAsia" w:ascii="仿宋_GB2312" w:hAnsi="仿宋"/>
          <w:szCs w:val="32"/>
          <w:highlight w:val="none"/>
        </w:rPr>
        <w:t>。</w:t>
      </w:r>
    </w:p>
    <w:p>
      <w:pPr>
        <w:spacing w:line="560" w:lineRule="exact"/>
        <w:ind w:firstLine="640"/>
        <w:jc w:val="left"/>
        <w:rPr>
          <w:rFonts w:hint="eastAsia" w:ascii="仿宋" w:hAnsi="仿宋" w:cs="仿宋"/>
          <w:szCs w:val="32"/>
        </w:rPr>
      </w:pPr>
      <w:r>
        <w:rPr>
          <w:rFonts w:hint="eastAsia" w:ascii="仿宋_GB2312" w:hAnsi="仿宋"/>
          <w:szCs w:val="32"/>
          <w:highlight w:val="none"/>
          <w:lang w:eastAsia="zh-CN"/>
        </w:rPr>
        <w:t>（二）</w:t>
      </w:r>
      <w:r>
        <w:rPr>
          <w:rFonts w:hint="eastAsia" w:ascii="仿宋_GB2312" w:hAnsi="仿宋"/>
          <w:szCs w:val="32"/>
          <w:highlight w:val="none"/>
          <w:lang w:val="en-US" w:eastAsia="zh-CN"/>
        </w:rPr>
        <w:t>一是</w:t>
      </w:r>
      <w:r>
        <w:rPr>
          <w:rFonts w:hint="eastAsia" w:ascii="仿宋" w:hAnsi="仿宋" w:cs="仿宋"/>
          <w:szCs w:val="32"/>
        </w:rPr>
        <w:t>坚持立德树人</w:t>
      </w:r>
      <w:r>
        <w:rPr>
          <w:rFonts w:hint="eastAsia" w:ascii="仿宋" w:hAnsi="仿宋" w:cs="仿宋"/>
          <w:szCs w:val="32"/>
          <w:lang w:eastAsia="zh-CN"/>
        </w:rPr>
        <w:t>，</w:t>
      </w:r>
      <w:r>
        <w:rPr>
          <w:rFonts w:hint="eastAsia" w:ascii="仿宋" w:hAnsi="仿宋" w:cs="仿宋"/>
          <w:szCs w:val="32"/>
        </w:rPr>
        <w:t>将课程思政教学建设贯穿于课程建设全过程。</w:t>
      </w:r>
      <w:r>
        <w:rPr>
          <w:rFonts w:hint="eastAsia" w:ascii="仿宋" w:hAnsi="仿宋" w:cs="仿宋"/>
          <w:szCs w:val="32"/>
          <w:lang w:val="en-US" w:eastAsia="zh-CN"/>
        </w:rPr>
        <w:t>二是</w:t>
      </w:r>
      <w:r>
        <w:rPr>
          <w:rFonts w:hint="eastAsia" w:ascii="仿宋" w:hAnsi="仿宋" w:cs="仿宋"/>
          <w:szCs w:val="32"/>
        </w:rPr>
        <w:t>坚持团队引领</w:t>
      </w:r>
      <w:r>
        <w:rPr>
          <w:rFonts w:hint="eastAsia" w:ascii="仿宋" w:hAnsi="仿宋" w:cs="仿宋"/>
          <w:szCs w:val="32"/>
          <w:lang w:eastAsia="zh-CN"/>
        </w:rPr>
        <w:t>，</w:t>
      </w:r>
      <w:r>
        <w:rPr>
          <w:rFonts w:hint="eastAsia" w:ascii="仿宋" w:hAnsi="仿宋" w:cs="仿宋"/>
          <w:szCs w:val="32"/>
        </w:rPr>
        <w:t>建立一支相对稳定、结构合理的教学团队实施课程建设。课程建设负责人原则上应由具有高级职称的学科带头人或教学骨干担任。</w:t>
      </w:r>
      <w:r>
        <w:rPr>
          <w:rFonts w:hint="eastAsia" w:ascii="仿宋" w:hAnsi="仿宋" w:cs="仿宋"/>
          <w:szCs w:val="32"/>
          <w:lang w:val="en-US" w:eastAsia="zh-CN"/>
        </w:rPr>
        <w:t>三是</w:t>
      </w:r>
      <w:r>
        <w:rPr>
          <w:rFonts w:hint="eastAsia" w:ascii="仿宋" w:hAnsi="仿宋" w:cs="仿宋"/>
          <w:szCs w:val="32"/>
        </w:rPr>
        <w:t>坚持教学内容的先进性</w:t>
      </w:r>
      <w:r>
        <w:rPr>
          <w:rFonts w:hint="eastAsia" w:ascii="仿宋" w:hAnsi="仿宋" w:cs="仿宋"/>
          <w:szCs w:val="32"/>
          <w:lang w:eastAsia="zh-CN"/>
        </w:rPr>
        <w:t>和</w:t>
      </w:r>
      <w:r>
        <w:rPr>
          <w:rFonts w:hint="eastAsia" w:ascii="仿宋" w:hAnsi="仿宋" w:cs="仿宋"/>
          <w:szCs w:val="32"/>
        </w:rPr>
        <w:t>课程形态创新</w:t>
      </w:r>
      <w:r>
        <w:rPr>
          <w:rFonts w:hint="eastAsia" w:ascii="仿宋" w:hAnsi="仿宋" w:cs="仿宋"/>
          <w:szCs w:val="32"/>
          <w:lang w:eastAsia="zh-CN"/>
        </w:rPr>
        <w:t>性</w:t>
      </w:r>
      <w:r>
        <w:rPr>
          <w:rFonts w:hint="eastAsia" w:ascii="仿宋" w:hAnsi="仿宋" w:cs="仿宋"/>
          <w:szCs w:val="32"/>
        </w:rPr>
        <w:t>。聚焦新农科、新文科建设，体现多学科交叉融合</w:t>
      </w:r>
      <w:r>
        <w:rPr>
          <w:rFonts w:hint="eastAsia" w:ascii="仿宋" w:hAnsi="仿宋" w:cs="仿宋"/>
          <w:szCs w:val="32"/>
          <w:lang w:eastAsia="zh-CN"/>
        </w:rPr>
        <w:t>。</w:t>
      </w:r>
      <w:r>
        <w:rPr>
          <w:rFonts w:hint="eastAsia" w:ascii="仿宋_GB2312" w:hAnsi="仿宋"/>
          <w:szCs w:val="32"/>
        </w:rPr>
        <w:t>课程建设形态包括线上、线下、线上线下混合式、虚拟仿真实验教学等。</w:t>
      </w:r>
      <w:r>
        <w:rPr>
          <w:rFonts w:hint="eastAsia" w:ascii="仿宋" w:hAnsi="仿宋" w:cs="仿宋"/>
          <w:szCs w:val="32"/>
          <w:lang w:val="en-US" w:eastAsia="zh-CN"/>
        </w:rPr>
        <w:t>四是</w:t>
      </w:r>
      <w:r>
        <w:rPr>
          <w:rFonts w:ascii="仿宋" w:hAnsi="仿宋" w:cs="仿宋"/>
          <w:szCs w:val="32"/>
        </w:rPr>
        <w:t>坚持</w:t>
      </w:r>
      <w:r>
        <w:rPr>
          <w:rFonts w:hint="eastAsia" w:ascii="仿宋" w:hAnsi="仿宋" w:cs="仿宋"/>
          <w:szCs w:val="32"/>
        </w:rPr>
        <w:t>课程考核评价</w:t>
      </w:r>
      <w:r>
        <w:rPr>
          <w:rFonts w:ascii="仿宋" w:hAnsi="仿宋" w:cs="仿宋"/>
          <w:szCs w:val="32"/>
        </w:rPr>
        <w:t>改革</w:t>
      </w:r>
      <w:r>
        <w:rPr>
          <w:rFonts w:hint="eastAsia" w:ascii="仿宋" w:hAnsi="仿宋" w:cs="仿宋"/>
          <w:szCs w:val="32"/>
        </w:rPr>
        <w:t>。加强研究型、项目式学习，丰富探究式、论文式、报告答辩式等作业评价方式，加强非标准化、综合性等评价，提升课程学习</w:t>
      </w:r>
      <w:r>
        <w:rPr>
          <w:rFonts w:hint="eastAsia" w:ascii="仿宋" w:hAnsi="仿宋" w:cs="仿宋"/>
          <w:szCs w:val="32"/>
          <w:lang w:val="en-US" w:eastAsia="zh-CN"/>
        </w:rPr>
        <w:t>深度和</w:t>
      </w:r>
      <w:r>
        <w:rPr>
          <w:rFonts w:hint="eastAsia" w:ascii="仿宋" w:hAnsi="仿宋" w:cs="仿宋"/>
          <w:szCs w:val="32"/>
        </w:rPr>
        <w:t>挑战度。</w:t>
      </w:r>
    </w:p>
    <w:p>
      <w:pPr>
        <w:widowControl/>
        <w:spacing w:before="280" w:beforeLines="50" w:after="280" w:afterLines="50" w:line="560" w:lineRule="exact"/>
        <w:ind w:firstLine="641"/>
        <w:jc w:val="left"/>
        <w:rPr>
          <w:rFonts w:hint="eastAsia" w:ascii="黑体" w:hAnsi="黑体" w:eastAsia="黑体" w:cs="黑体"/>
          <w:szCs w:val="32"/>
        </w:rPr>
      </w:pPr>
      <w:r>
        <w:rPr>
          <w:rFonts w:hint="eastAsia" w:ascii="黑体" w:hAnsi="黑体" w:eastAsia="黑体" w:cs="黑体"/>
          <w:szCs w:val="32"/>
          <w:lang w:eastAsia="zh-CN"/>
        </w:rPr>
        <w:t>四</w:t>
      </w:r>
      <w:r>
        <w:rPr>
          <w:rFonts w:hint="eastAsia" w:ascii="黑体" w:hAnsi="黑体" w:eastAsia="黑体" w:cs="黑体"/>
          <w:szCs w:val="32"/>
        </w:rPr>
        <w:t>、组织实施</w:t>
      </w:r>
    </w:p>
    <w:p>
      <w:pPr>
        <w:spacing w:line="560" w:lineRule="exact"/>
        <w:ind w:firstLine="640"/>
        <w:jc w:val="left"/>
        <w:rPr>
          <w:rFonts w:hint="eastAsia" w:ascii="仿宋" w:hAnsi="仿宋" w:cs="仿宋"/>
          <w:szCs w:val="32"/>
        </w:rPr>
      </w:pPr>
      <w:r>
        <w:rPr>
          <w:rFonts w:hint="eastAsia" w:ascii="仿宋" w:hAnsi="仿宋" w:cs="仿宋"/>
          <w:szCs w:val="32"/>
        </w:rPr>
        <w:t>（一）规划</w:t>
      </w:r>
    </w:p>
    <w:p>
      <w:pPr>
        <w:spacing w:line="560" w:lineRule="exact"/>
        <w:ind w:firstLine="640"/>
        <w:jc w:val="left"/>
        <w:rPr>
          <w:rFonts w:hint="eastAsia" w:ascii="仿宋" w:hAnsi="仿宋" w:cs="仿宋"/>
          <w:szCs w:val="32"/>
        </w:rPr>
      </w:pPr>
      <w:r>
        <w:rPr>
          <w:rFonts w:hint="eastAsia" w:ascii="仿宋" w:hAnsi="仿宋" w:cs="仿宋"/>
          <w:szCs w:val="32"/>
        </w:rPr>
        <w:t>1.</w:t>
      </w:r>
      <w:r>
        <w:rPr>
          <w:rFonts w:ascii="仿宋" w:hAnsi="仿宋" w:cs="仿宋"/>
          <w:szCs w:val="32"/>
        </w:rPr>
        <w:t>根据学</w:t>
      </w:r>
      <w:r>
        <w:rPr>
          <w:rFonts w:hint="eastAsia" w:ascii="仿宋" w:hAnsi="仿宋" w:cs="仿宋"/>
          <w:szCs w:val="32"/>
          <w:lang w:eastAsia="zh-CN"/>
        </w:rPr>
        <w:t>院</w:t>
      </w:r>
      <w:r>
        <w:rPr>
          <w:rFonts w:ascii="仿宋" w:hAnsi="仿宋" w:cs="仿宋"/>
          <w:szCs w:val="32"/>
        </w:rPr>
        <w:t>目标任务，</w:t>
      </w:r>
      <w:r>
        <w:rPr>
          <w:rFonts w:hint="eastAsia" w:ascii="仿宋" w:hAnsi="仿宋" w:cs="仿宋"/>
          <w:szCs w:val="32"/>
        </w:rPr>
        <w:t>紧扣人才培养方案，完成三年一流课程建设的论证和规划，经学</w:t>
      </w:r>
      <w:r>
        <w:rPr>
          <w:rFonts w:hint="eastAsia" w:ascii="仿宋" w:hAnsi="仿宋" w:cs="仿宋"/>
          <w:szCs w:val="32"/>
          <w:lang w:eastAsia="zh-CN"/>
        </w:rPr>
        <w:t>院教授委员</w:t>
      </w:r>
      <w:r>
        <w:rPr>
          <w:rFonts w:hint="eastAsia" w:ascii="仿宋" w:hAnsi="仿宋" w:cs="仿宋"/>
          <w:szCs w:val="32"/>
        </w:rPr>
        <w:t>会审定后纳入年度重点任务。</w:t>
      </w:r>
    </w:p>
    <w:p>
      <w:pPr>
        <w:spacing w:line="560" w:lineRule="exact"/>
        <w:ind w:firstLine="640"/>
        <w:rPr>
          <w:rFonts w:hint="eastAsia" w:ascii="仿宋" w:hAnsi="仿宋" w:cs="仿宋"/>
          <w:szCs w:val="32"/>
        </w:rPr>
      </w:pPr>
      <w:r>
        <w:rPr>
          <w:rFonts w:hint="eastAsia" w:ascii="仿宋" w:hAnsi="仿宋" w:cs="仿宋"/>
          <w:szCs w:val="32"/>
        </w:rPr>
        <w:t>2.纳入规划的课程须</w:t>
      </w:r>
      <w:r>
        <w:rPr>
          <w:rFonts w:ascii="仿宋" w:hAnsi="仿宋" w:cs="仿宋"/>
          <w:szCs w:val="32"/>
        </w:rPr>
        <w:t>为</w:t>
      </w:r>
      <w:r>
        <w:rPr>
          <w:rFonts w:hint="eastAsia" w:ascii="仿宋" w:hAnsi="仿宋" w:cs="仿宋"/>
          <w:szCs w:val="32"/>
        </w:rPr>
        <w:t>人才培养方案中具有学科优势和特色</w:t>
      </w:r>
      <w:r>
        <w:rPr>
          <w:rFonts w:ascii="仿宋" w:hAnsi="仿宋" w:cs="仿宋"/>
          <w:szCs w:val="32"/>
        </w:rPr>
        <w:t>的</w:t>
      </w:r>
      <w:r>
        <w:rPr>
          <w:rFonts w:hint="eastAsia" w:ascii="仿宋" w:hAnsi="仿宋" w:cs="仿宋"/>
          <w:szCs w:val="32"/>
        </w:rPr>
        <w:t>课程，且建有完整的课程质量标准。注重规划课程在人才培养目标和毕业要求中的作用，优化课程体系，明晰规划课程之间的逻辑关系，避免重复建设。</w:t>
      </w:r>
    </w:p>
    <w:p>
      <w:pPr>
        <w:spacing w:line="560" w:lineRule="exact"/>
        <w:ind w:firstLine="640"/>
        <w:jc w:val="left"/>
        <w:rPr>
          <w:rFonts w:hint="eastAsia" w:ascii="仿宋" w:hAnsi="仿宋" w:cs="仿宋"/>
          <w:szCs w:val="32"/>
        </w:rPr>
      </w:pPr>
      <w:r>
        <w:rPr>
          <w:rFonts w:hint="eastAsia" w:ascii="仿宋" w:hAnsi="仿宋" w:cs="仿宋"/>
          <w:szCs w:val="32"/>
        </w:rPr>
        <w:t>（二）建设</w:t>
      </w:r>
    </w:p>
    <w:p>
      <w:pPr>
        <w:spacing w:line="560" w:lineRule="exact"/>
        <w:ind w:firstLine="640"/>
        <w:jc w:val="left"/>
        <w:rPr>
          <w:rFonts w:hint="eastAsia" w:ascii="仿宋" w:hAnsi="仿宋" w:cs="仿宋"/>
          <w:szCs w:val="32"/>
        </w:rPr>
      </w:pPr>
      <w:r>
        <w:rPr>
          <w:rFonts w:hint="eastAsia" w:ascii="仿宋" w:hAnsi="仿宋" w:cs="仿宋"/>
          <w:szCs w:val="32"/>
        </w:rPr>
        <w:t>1.</w:t>
      </w:r>
      <w:r>
        <w:rPr>
          <w:rFonts w:hint="eastAsia" w:ascii="仿宋" w:hAnsi="仿宋" w:cs="仿宋"/>
          <w:szCs w:val="32"/>
          <w:lang w:val="en-US" w:eastAsia="zh-CN"/>
        </w:rPr>
        <w:t>学院</w:t>
      </w:r>
      <w:r>
        <w:rPr>
          <w:rFonts w:hint="eastAsia" w:ascii="仿宋" w:hAnsi="仿宋" w:cs="仿宋"/>
          <w:szCs w:val="32"/>
        </w:rPr>
        <w:t>整体部署，有序推进一流课程建设。列入三年规划的课程须同步启动，分年度重点推进。</w:t>
      </w:r>
    </w:p>
    <w:p>
      <w:pPr>
        <w:spacing w:line="560" w:lineRule="exact"/>
        <w:ind w:firstLine="640"/>
        <w:jc w:val="left"/>
        <w:rPr>
          <w:rFonts w:hint="eastAsia" w:ascii="仿宋" w:hAnsi="仿宋" w:cs="仿宋"/>
          <w:szCs w:val="32"/>
        </w:rPr>
      </w:pPr>
      <w:r>
        <w:rPr>
          <w:rFonts w:hint="eastAsia" w:ascii="仿宋" w:hAnsi="仿宋" w:cs="仿宋"/>
          <w:szCs w:val="32"/>
        </w:rPr>
        <w:t>2.课程建设实行课程负责人责任制，课程负责人应组建团队，明确课程建设形态和建设目标，制定详实的实施计划、方案及时间节点，保证时间、精力投入，按期完成建设任务，并按照学校有关财务制度做好经费使用管理。</w:t>
      </w:r>
    </w:p>
    <w:p>
      <w:pPr>
        <w:spacing w:line="560" w:lineRule="exact"/>
        <w:ind w:firstLine="640"/>
        <w:jc w:val="left"/>
        <w:rPr>
          <w:rFonts w:hint="eastAsia" w:ascii="仿宋" w:hAnsi="仿宋" w:cs="仿宋"/>
          <w:szCs w:val="32"/>
        </w:rPr>
      </w:pPr>
      <w:r>
        <w:rPr>
          <w:rFonts w:hint="eastAsia" w:ascii="仿宋" w:hAnsi="仿宋" w:cs="仿宋"/>
          <w:szCs w:val="32"/>
        </w:rPr>
        <w:t>（三）认定与应用</w:t>
      </w:r>
    </w:p>
    <w:p>
      <w:pPr>
        <w:spacing w:line="560" w:lineRule="exact"/>
        <w:ind w:firstLine="640"/>
        <w:jc w:val="left"/>
        <w:rPr>
          <w:rFonts w:hint="eastAsia" w:ascii="仿宋" w:hAnsi="仿宋" w:cs="仿宋"/>
          <w:szCs w:val="32"/>
        </w:rPr>
      </w:pPr>
      <w:r>
        <w:rPr>
          <w:rFonts w:hint="eastAsia" w:ascii="仿宋" w:hAnsi="仿宋" w:cs="仿宋"/>
          <w:szCs w:val="32"/>
        </w:rPr>
        <w:t>1.</w:t>
      </w:r>
      <w:r>
        <w:rPr>
          <w:rFonts w:ascii="仿宋" w:hAnsi="仿宋" w:cs="仿宋"/>
          <w:szCs w:val="32"/>
        </w:rPr>
        <w:t>根据</w:t>
      </w:r>
      <w:r>
        <w:rPr>
          <w:rFonts w:hint="eastAsia" w:ascii="仿宋" w:hAnsi="仿宋" w:cs="仿宋"/>
          <w:szCs w:val="32"/>
        </w:rPr>
        <w:t>国家、省级一流课程认定标准，明确课程建设标准，定期组织课程认定。依据认定结果，</w:t>
      </w:r>
      <w:r>
        <w:rPr>
          <w:rFonts w:ascii="仿宋" w:hAnsi="仿宋" w:cs="仿宋"/>
          <w:szCs w:val="32"/>
        </w:rPr>
        <w:t>择优推荐</w:t>
      </w:r>
      <w:r>
        <w:rPr>
          <w:rFonts w:hint="eastAsia" w:ascii="仿宋" w:hAnsi="仿宋" w:cs="仿宋"/>
          <w:szCs w:val="32"/>
        </w:rPr>
        <w:t>申报省级、国家级一流课程认定。</w:t>
      </w:r>
    </w:p>
    <w:p>
      <w:pPr>
        <w:spacing w:line="560" w:lineRule="exact"/>
        <w:ind w:firstLine="640"/>
        <w:jc w:val="left"/>
        <w:rPr>
          <w:rFonts w:hint="eastAsia" w:ascii="仿宋" w:hAnsi="仿宋" w:cs="仿宋"/>
          <w:szCs w:val="32"/>
        </w:rPr>
      </w:pPr>
      <w:r>
        <w:rPr>
          <w:rFonts w:hint="eastAsia" w:ascii="仿宋" w:hAnsi="仿宋" w:cs="仿宋"/>
          <w:szCs w:val="32"/>
        </w:rPr>
        <w:t>2.经认定的课程须继续建设且在教学中应用不少于五年。对认定的课程实施动态管理，对课程实际应用、教学效果和共享等进行跟踪监测，对不符合要求的课程实行退出机制。</w:t>
      </w:r>
    </w:p>
    <w:p>
      <w:pPr>
        <w:widowControl/>
        <w:spacing w:before="280" w:beforeLines="50" w:after="280" w:afterLines="50" w:line="560" w:lineRule="exact"/>
        <w:ind w:firstLine="641"/>
        <w:jc w:val="left"/>
        <w:rPr>
          <w:rFonts w:hint="eastAsia" w:ascii="黑体" w:hAnsi="黑体" w:eastAsia="黑体" w:cs="黑体"/>
          <w:szCs w:val="32"/>
        </w:rPr>
      </w:pPr>
      <w:r>
        <w:rPr>
          <w:rFonts w:hint="eastAsia" w:ascii="黑体" w:hAnsi="黑体" w:eastAsia="黑体" w:cs="黑体"/>
          <w:szCs w:val="32"/>
          <w:lang w:eastAsia="zh-CN"/>
        </w:rPr>
        <w:t>五</w:t>
      </w:r>
      <w:r>
        <w:rPr>
          <w:rFonts w:hint="eastAsia" w:ascii="黑体" w:hAnsi="黑体" w:eastAsia="黑体" w:cs="黑体"/>
          <w:szCs w:val="32"/>
        </w:rPr>
        <w:t>、进度安排</w:t>
      </w:r>
    </w:p>
    <w:p>
      <w:pPr>
        <w:spacing w:line="560" w:lineRule="exact"/>
        <w:ind w:firstLine="640"/>
        <w:jc w:val="left"/>
        <w:rPr>
          <w:rFonts w:hint="eastAsia" w:ascii="仿宋" w:hAnsi="仿宋" w:cs="仿宋"/>
          <w:szCs w:val="32"/>
        </w:rPr>
      </w:pPr>
      <w:r>
        <w:rPr>
          <w:rFonts w:hint="eastAsia" w:ascii="仿宋" w:hAnsi="仿宋" w:cs="仿宋"/>
          <w:szCs w:val="32"/>
        </w:rPr>
        <w:t>2020年</w:t>
      </w:r>
      <w:r>
        <w:rPr>
          <w:rFonts w:hint="eastAsia" w:ascii="仿宋" w:hAnsi="仿宋" w:cs="仿宋"/>
          <w:szCs w:val="32"/>
          <w:lang w:val="en-US" w:eastAsia="zh-CN"/>
        </w:rPr>
        <w:t>3</w:t>
      </w:r>
      <w:r>
        <w:rPr>
          <w:rFonts w:hint="eastAsia" w:ascii="仿宋" w:hAnsi="仿宋" w:cs="仿宋"/>
          <w:szCs w:val="32"/>
        </w:rPr>
        <w:t>月</w:t>
      </w:r>
      <w:r>
        <w:rPr>
          <w:rFonts w:hint="eastAsia" w:ascii="仿宋" w:hAnsi="仿宋" w:cs="仿宋"/>
          <w:szCs w:val="32"/>
          <w:lang w:val="en-US" w:eastAsia="zh-CN"/>
        </w:rPr>
        <w:t>11-13日</w:t>
      </w:r>
      <w:r>
        <w:rPr>
          <w:rFonts w:hint="eastAsia" w:ascii="仿宋" w:hAnsi="仿宋" w:cs="仿宋"/>
          <w:szCs w:val="32"/>
        </w:rPr>
        <w:t>：</w:t>
      </w:r>
      <w:r>
        <w:rPr>
          <w:rFonts w:hint="eastAsia" w:ascii="仿宋" w:hAnsi="仿宋" w:cs="仿宋"/>
          <w:szCs w:val="32"/>
          <w:lang w:val="en-US" w:eastAsia="zh-CN"/>
        </w:rPr>
        <w:t>各系、所(中心)根据</w:t>
      </w:r>
      <w:r>
        <w:rPr>
          <w:rFonts w:hint="eastAsia" w:ascii="仿宋" w:hAnsi="仿宋" w:cs="仿宋"/>
          <w:szCs w:val="32"/>
        </w:rPr>
        <w:t>一流课程建设指标</w:t>
      </w:r>
      <w:r>
        <w:rPr>
          <w:rFonts w:hint="eastAsia" w:ascii="仿宋" w:hAnsi="仿宋" w:cs="仿宋"/>
          <w:szCs w:val="32"/>
          <w:lang w:val="en-US" w:eastAsia="zh-CN"/>
        </w:rPr>
        <w:t>组织教师申报，学院根据教师申报情况适时组织专家论证，</w:t>
      </w:r>
      <w:r>
        <w:rPr>
          <w:rFonts w:hint="eastAsia" w:ascii="仿宋" w:hAnsi="仿宋" w:cs="仿宋"/>
          <w:szCs w:val="32"/>
        </w:rPr>
        <w:t>完成2020-2022年课程建设论证规划</w:t>
      </w:r>
      <w:r>
        <w:rPr>
          <w:rFonts w:hint="eastAsia" w:ascii="仿宋" w:hAnsi="仿宋" w:cs="仿宋"/>
          <w:szCs w:val="32"/>
          <w:lang w:eastAsia="zh-CN"/>
        </w:rPr>
        <w:t>。</w:t>
      </w:r>
    </w:p>
    <w:p>
      <w:pPr>
        <w:spacing w:line="560" w:lineRule="exact"/>
        <w:ind w:firstLine="640"/>
        <w:jc w:val="left"/>
        <w:rPr>
          <w:rFonts w:hint="eastAsia" w:ascii="仿宋" w:hAnsi="仿宋" w:cs="仿宋"/>
          <w:szCs w:val="32"/>
        </w:rPr>
      </w:pPr>
      <w:r>
        <w:rPr>
          <w:rFonts w:hint="eastAsia" w:ascii="仿宋" w:hAnsi="仿宋" w:cs="仿宋"/>
          <w:szCs w:val="32"/>
        </w:rPr>
        <w:t>2020年</w:t>
      </w:r>
      <w:r>
        <w:rPr>
          <w:rFonts w:hint="eastAsia" w:ascii="仿宋" w:hAnsi="仿宋" w:cs="仿宋"/>
          <w:szCs w:val="32"/>
          <w:lang w:val="en-US" w:eastAsia="zh-CN"/>
        </w:rPr>
        <w:t>3</w:t>
      </w:r>
      <w:r>
        <w:rPr>
          <w:rFonts w:hint="eastAsia" w:ascii="仿宋" w:hAnsi="仿宋" w:cs="仿宋"/>
          <w:szCs w:val="32"/>
        </w:rPr>
        <w:t>月</w:t>
      </w:r>
      <w:r>
        <w:rPr>
          <w:rFonts w:hint="eastAsia" w:ascii="仿宋" w:hAnsi="仿宋" w:cs="仿宋"/>
          <w:szCs w:val="32"/>
          <w:lang w:val="en-US" w:eastAsia="zh-CN"/>
        </w:rPr>
        <w:t>14-16日</w:t>
      </w:r>
      <w:r>
        <w:rPr>
          <w:rFonts w:hint="eastAsia" w:ascii="仿宋" w:hAnsi="仿宋" w:cs="仿宋"/>
          <w:szCs w:val="32"/>
        </w:rPr>
        <w:t>：</w:t>
      </w:r>
      <w:r>
        <w:rPr>
          <w:rFonts w:hint="eastAsia" w:ascii="仿宋" w:hAnsi="仿宋" w:cs="仿宋"/>
          <w:szCs w:val="32"/>
          <w:lang w:eastAsia="zh-CN"/>
        </w:rPr>
        <w:t>学院初步</w:t>
      </w:r>
      <w:r>
        <w:rPr>
          <w:rFonts w:hint="eastAsia" w:ascii="仿宋" w:hAnsi="仿宋" w:cs="仿宋"/>
          <w:szCs w:val="32"/>
          <w:lang w:val="en-US" w:eastAsia="zh-CN"/>
        </w:rPr>
        <w:t>审核</w:t>
      </w:r>
      <w:r>
        <w:rPr>
          <w:rFonts w:hint="eastAsia" w:ascii="仿宋" w:hAnsi="仿宋" w:cs="仿宋"/>
          <w:szCs w:val="32"/>
        </w:rPr>
        <w:t>课程建设规划，</w:t>
      </w:r>
      <w:r>
        <w:rPr>
          <w:rFonts w:hint="eastAsia" w:ascii="仿宋" w:hAnsi="仿宋" w:cs="仿宋"/>
          <w:szCs w:val="32"/>
          <w:lang w:val="en-US" w:eastAsia="zh-CN"/>
        </w:rPr>
        <w:t>提交教授委员会审议</w:t>
      </w:r>
      <w:r>
        <w:rPr>
          <w:rFonts w:hint="eastAsia" w:ascii="仿宋" w:hAnsi="仿宋" w:cs="仿宋"/>
          <w:szCs w:val="32"/>
        </w:rPr>
        <w:t>并</w:t>
      </w:r>
      <w:r>
        <w:rPr>
          <w:rFonts w:hint="eastAsia" w:ascii="仿宋" w:hAnsi="仿宋" w:cs="仿宋"/>
          <w:szCs w:val="32"/>
          <w:lang w:eastAsia="zh-CN"/>
        </w:rPr>
        <w:t>上报学校审定</w:t>
      </w:r>
      <w:r>
        <w:rPr>
          <w:rFonts w:hint="eastAsia" w:ascii="仿宋" w:hAnsi="仿宋" w:cs="仿宋"/>
          <w:szCs w:val="32"/>
        </w:rPr>
        <w:t>。</w:t>
      </w:r>
    </w:p>
    <w:p>
      <w:pPr>
        <w:spacing w:line="560" w:lineRule="exact"/>
        <w:ind w:firstLine="640"/>
        <w:jc w:val="left"/>
        <w:rPr>
          <w:rFonts w:hint="eastAsia" w:ascii="仿宋" w:hAnsi="仿宋" w:cs="仿宋"/>
          <w:szCs w:val="32"/>
        </w:rPr>
      </w:pPr>
      <w:r>
        <w:rPr>
          <w:rFonts w:hint="eastAsia" w:ascii="仿宋" w:hAnsi="仿宋" w:cs="仿宋"/>
          <w:szCs w:val="32"/>
        </w:rPr>
        <w:t>2020年4月：</w:t>
      </w:r>
      <w:r>
        <w:rPr>
          <w:rFonts w:hint="eastAsia" w:ascii="仿宋" w:hAnsi="仿宋" w:cs="仿宋"/>
          <w:szCs w:val="32"/>
          <w:lang w:val="en-US" w:eastAsia="zh-CN"/>
        </w:rPr>
        <w:t>根据学校审定结果，学院</w:t>
      </w:r>
      <w:r>
        <w:rPr>
          <w:rFonts w:hint="eastAsia" w:ascii="仿宋" w:hAnsi="仿宋" w:cs="仿宋"/>
          <w:szCs w:val="32"/>
        </w:rPr>
        <w:t>启动一流课程建设工作，组织教师签订《一流课程建设项目任务书》，报送</w:t>
      </w:r>
      <w:r>
        <w:rPr>
          <w:rFonts w:hint="eastAsia" w:ascii="仿宋" w:hAnsi="仿宋" w:cs="仿宋"/>
          <w:szCs w:val="32"/>
          <w:lang w:eastAsia="zh-CN"/>
        </w:rPr>
        <w:t>学校备案</w:t>
      </w:r>
      <w:r>
        <w:rPr>
          <w:rFonts w:hint="eastAsia" w:ascii="仿宋" w:hAnsi="仿宋" w:cs="仿宋"/>
          <w:szCs w:val="32"/>
        </w:rPr>
        <w:t>。</w:t>
      </w:r>
    </w:p>
    <w:p>
      <w:pPr>
        <w:widowControl/>
        <w:spacing w:before="280" w:beforeLines="50" w:after="280" w:afterLines="50" w:line="560" w:lineRule="exact"/>
        <w:ind w:firstLine="641"/>
        <w:jc w:val="left"/>
        <w:rPr>
          <w:rFonts w:hint="eastAsia" w:ascii="黑体" w:hAnsi="黑体" w:eastAsia="黑体" w:cs="黑体"/>
          <w:szCs w:val="32"/>
        </w:rPr>
      </w:pPr>
      <w:r>
        <w:rPr>
          <w:rFonts w:hint="eastAsia" w:ascii="黑体" w:hAnsi="黑体" w:eastAsia="黑体" w:cs="黑体"/>
          <w:szCs w:val="32"/>
          <w:lang w:eastAsia="zh-CN"/>
        </w:rPr>
        <w:t>六</w:t>
      </w:r>
      <w:r>
        <w:rPr>
          <w:rFonts w:hint="eastAsia" w:ascii="黑体" w:hAnsi="黑体" w:eastAsia="黑体" w:cs="黑体"/>
          <w:szCs w:val="32"/>
        </w:rPr>
        <w:t>、支持保障</w:t>
      </w:r>
    </w:p>
    <w:p>
      <w:pPr>
        <w:spacing w:line="560" w:lineRule="exact"/>
        <w:ind w:firstLine="640"/>
        <w:jc w:val="left"/>
        <w:rPr>
          <w:rFonts w:hint="eastAsia" w:ascii="仿宋" w:hAnsi="仿宋" w:cs="仿宋"/>
          <w:szCs w:val="32"/>
        </w:rPr>
      </w:pPr>
      <w:r>
        <w:rPr>
          <w:rFonts w:hint="eastAsia" w:ascii="仿宋" w:hAnsi="仿宋" w:cs="仿宋"/>
          <w:szCs w:val="32"/>
        </w:rPr>
        <w:t>（一）学院统筹</w:t>
      </w:r>
      <w:r>
        <w:rPr>
          <w:rFonts w:hint="eastAsia" w:ascii="仿宋" w:hAnsi="仿宋" w:cs="仿宋"/>
          <w:szCs w:val="32"/>
          <w:lang w:eastAsia="zh-CN"/>
        </w:rPr>
        <w:t>学校下拨</w:t>
      </w:r>
      <w:r>
        <w:rPr>
          <w:rFonts w:hint="eastAsia" w:ascii="仿宋" w:hAnsi="仿宋" w:cs="仿宋"/>
          <w:szCs w:val="32"/>
        </w:rPr>
        <w:t>经费，确保课程建设工作取得实效。</w:t>
      </w:r>
    </w:p>
    <w:p>
      <w:pPr>
        <w:spacing w:line="560" w:lineRule="exact"/>
        <w:ind w:firstLine="640"/>
        <w:jc w:val="left"/>
        <w:rPr>
          <w:rFonts w:ascii="仿宋" w:hAnsi="仿宋" w:cs="仿宋"/>
          <w:szCs w:val="32"/>
        </w:rPr>
      </w:pPr>
      <w:r>
        <w:rPr>
          <w:rFonts w:hint="eastAsia" w:ascii="仿宋" w:hAnsi="仿宋" w:cs="仿宋"/>
          <w:szCs w:val="32"/>
        </w:rPr>
        <w:t>（二）</w:t>
      </w:r>
      <w:r>
        <w:rPr>
          <w:rFonts w:hint="eastAsia" w:ascii="仿宋" w:hAnsi="仿宋" w:cs="仿宋"/>
          <w:szCs w:val="32"/>
          <w:lang w:eastAsia="zh-CN"/>
        </w:rPr>
        <w:t>组织相关教师参加</w:t>
      </w:r>
      <w:r>
        <w:rPr>
          <w:rFonts w:hint="eastAsia" w:ascii="仿宋" w:hAnsi="仿宋" w:cs="仿宋"/>
          <w:szCs w:val="32"/>
        </w:rPr>
        <w:t>教学发展中心</w:t>
      </w:r>
      <w:r>
        <w:rPr>
          <w:rFonts w:ascii="仿宋" w:hAnsi="仿宋" w:cs="仿宋"/>
          <w:szCs w:val="32"/>
        </w:rPr>
        <w:t>一流</w:t>
      </w:r>
      <w:r>
        <w:rPr>
          <w:rFonts w:hint="eastAsia" w:ascii="仿宋" w:hAnsi="仿宋" w:cs="仿宋"/>
          <w:szCs w:val="32"/>
        </w:rPr>
        <w:t>课程建专项培训和教</w:t>
      </w:r>
      <w:r>
        <w:rPr>
          <w:rFonts w:ascii="仿宋" w:hAnsi="仿宋" w:cs="仿宋"/>
          <w:szCs w:val="32"/>
        </w:rPr>
        <w:t>研</w:t>
      </w:r>
      <w:r>
        <w:rPr>
          <w:rFonts w:hint="eastAsia" w:ascii="仿宋" w:hAnsi="仿宋" w:cs="仿宋"/>
          <w:szCs w:val="32"/>
          <w:lang w:eastAsia="zh-CN"/>
        </w:rPr>
        <w:t>及</w:t>
      </w:r>
      <w:r>
        <w:rPr>
          <w:rFonts w:hint="eastAsia" w:ascii="仿宋" w:hAnsi="仿宋" w:cs="仿宋"/>
          <w:szCs w:val="32"/>
        </w:rPr>
        <w:t>示范</w:t>
      </w:r>
      <w:r>
        <w:rPr>
          <w:rFonts w:hint="eastAsia" w:ascii="仿宋" w:hAnsi="仿宋" w:cs="仿宋"/>
          <w:szCs w:val="32"/>
          <w:lang w:eastAsia="zh-CN"/>
        </w:rPr>
        <w:t>活动</w:t>
      </w:r>
      <w:r>
        <w:rPr>
          <w:rFonts w:hint="eastAsia" w:ascii="仿宋" w:hAnsi="仿宋" w:cs="仿宋"/>
          <w:szCs w:val="32"/>
        </w:rPr>
        <w:t>，加强经验交流，提升</w:t>
      </w:r>
      <w:r>
        <w:rPr>
          <w:rFonts w:ascii="仿宋" w:hAnsi="仿宋" w:cs="仿宋"/>
          <w:szCs w:val="32"/>
        </w:rPr>
        <w:t>一流</w:t>
      </w:r>
      <w:r>
        <w:rPr>
          <w:rFonts w:hint="eastAsia" w:ascii="仿宋" w:hAnsi="仿宋" w:cs="仿宋"/>
          <w:szCs w:val="32"/>
        </w:rPr>
        <w:t>课程建设质量。</w:t>
      </w:r>
    </w:p>
    <w:p>
      <w:pPr>
        <w:spacing w:line="560" w:lineRule="exact"/>
        <w:ind w:firstLine="640"/>
        <w:jc w:val="left"/>
        <w:rPr>
          <w:rFonts w:hint="eastAsia" w:ascii="仿宋" w:hAnsi="仿宋" w:cs="仿宋"/>
          <w:szCs w:val="32"/>
        </w:rPr>
      </w:pPr>
      <w:r>
        <w:rPr>
          <w:rFonts w:hint="eastAsia" w:ascii="仿宋" w:hAnsi="仿宋" w:cs="仿宋"/>
          <w:szCs w:val="32"/>
        </w:rPr>
        <w:t>（</w:t>
      </w:r>
      <w:r>
        <w:rPr>
          <w:rFonts w:hint="eastAsia" w:ascii="仿宋" w:hAnsi="仿宋" w:cs="仿宋"/>
          <w:szCs w:val="32"/>
          <w:lang w:eastAsia="zh-CN"/>
        </w:rPr>
        <w:t>三</w:t>
      </w:r>
      <w:r>
        <w:rPr>
          <w:rFonts w:hint="eastAsia" w:ascii="仿宋" w:hAnsi="仿宋" w:cs="仿宋"/>
          <w:szCs w:val="32"/>
        </w:rPr>
        <w:t>）课程建设成效纳入</w:t>
      </w:r>
      <w:r>
        <w:rPr>
          <w:rFonts w:hint="eastAsia" w:ascii="仿宋" w:hAnsi="仿宋" w:cs="仿宋"/>
          <w:szCs w:val="32"/>
          <w:lang w:eastAsia="zh-CN"/>
        </w:rPr>
        <w:t>课程负责人</w:t>
      </w:r>
      <w:r>
        <w:rPr>
          <w:rFonts w:hint="eastAsia" w:ascii="仿宋" w:hAnsi="仿宋" w:cs="仿宋"/>
          <w:szCs w:val="32"/>
        </w:rPr>
        <w:t>工作绩效考核。未按期完成建设任务的课程负责人，两年之内不得申报任何教学建设和改革类项目，</w:t>
      </w:r>
      <w:r>
        <w:rPr>
          <w:rFonts w:ascii="仿宋" w:hAnsi="仿宋" w:cs="仿宋"/>
          <w:szCs w:val="32"/>
        </w:rPr>
        <w:t>并</w:t>
      </w:r>
      <w:r>
        <w:rPr>
          <w:rFonts w:hint="eastAsia" w:ascii="仿宋" w:hAnsi="仿宋" w:cs="仿宋"/>
          <w:szCs w:val="32"/>
        </w:rPr>
        <w:t>取消</w:t>
      </w:r>
      <w:r>
        <w:rPr>
          <w:rFonts w:ascii="仿宋" w:hAnsi="仿宋" w:cs="仿宋"/>
          <w:szCs w:val="32"/>
        </w:rPr>
        <w:t>各类教学</w:t>
      </w:r>
      <w:r>
        <w:rPr>
          <w:rFonts w:hint="eastAsia" w:ascii="仿宋" w:hAnsi="仿宋" w:cs="仿宋"/>
          <w:szCs w:val="32"/>
        </w:rPr>
        <w:t>评优资格。</w:t>
      </w:r>
    </w:p>
    <w:p>
      <w:pPr>
        <w:spacing w:line="560" w:lineRule="exact"/>
        <w:ind w:firstLine="640"/>
      </w:pPr>
    </w:p>
    <w:p/>
    <w:sectPr>
      <w:footerReference r:id="rId3" w:type="default"/>
      <w:pgSz w:w="11906" w:h="16838"/>
      <w:pgMar w:top="1440" w:right="17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C1BDB"/>
    <w:rsid w:val="00556821"/>
    <w:rsid w:val="00E0136F"/>
    <w:rsid w:val="01610B09"/>
    <w:rsid w:val="0426276A"/>
    <w:rsid w:val="07940902"/>
    <w:rsid w:val="0AC30051"/>
    <w:rsid w:val="0C353147"/>
    <w:rsid w:val="0CE244A3"/>
    <w:rsid w:val="0E9673F6"/>
    <w:rsid w:val="0EA118C9"/>
    <w:rsid w:val="10A50CAD"/>
    <w:rsid w:val="10F9557C"/>
    <w:rsid w:val="11962753"/>
    <w:rsid w:val="11AE42E9"/>
    <w:rsid w:val="149839E7"/>
    <w:rsid w:val="1BF25510"/>
    <w:rsid w:val="1C38322A"/>
    <w:rsid w:val="1CC8064D"/>
    <w:rsid w:val="1DD25461"/>
    <w:rsid w:val="1EF15073"/>
    <w:rsid w:val="2007759D"/>
    <w:rsid w:val="203F4279"/>
    <w:rsid w:val="21371A36"/>
    <w:rsid w:val="25926F52"/>
    <w:rsid w:val="25DA43C9"/>
    <w:rsid w:val="2634312E"/>
    <w:rsid w:val="278037BD"/>
    <w:rsid w:val="284C1C5F"/>
    <w:rsid w:val="28F3493C"/>
    <w:rsid w:val="29F85B53"/>
    <w:rsid w:val="2A53781F"/>
    <w:rsid w:val="2A6E593F"/>
    <w:rsid w:val="2BC61E5C"/>
    <w:rsid w:val="2D2A7FEE"/>
    <w:rsid w:val="2E3576D0"/>
    <w:rsid w:val="2E4764B2"/>
    <w:rsid w:val="2ED3115F"/>
    <w:rsid w:val="2F3D4837"/>
    <w:rsid w:val="302D0BE7"/>
    <w:rsid w:val="329C5DF7"/>
    <w:rsid w:val="362758B4"/>
    <w:rsid w:val="387C76E8"/>
    <w:rsid w:val="39616036"/>
    <w:rsid w:val="3A766D56"/>
    <w:rsid w:val="3AE36BD5"/>
    <w:rsid w:val="3D824C64"/>
    <w:rsid w:val="3E551784"/>
    <w:rsid w:val="3EB55433"/>
    <w:rsid w:val="409657BB"/>
    <w:rsid w:val="40E41A1E"/>
    <w:rsid w:val="41B765F3"/>
    <w:rsid w:val="41D00F1A"/>
    <w:rsid w:val="42E95020"/>
    <w:rsid w:val="486748AB"/>
    <w:rsid w:val="49676CFC"/>
    <w:rsid w:val="4A0630CC"/>
    <w:rsid w:val="4C432444"/>
    <w:rsid w:val="4D0B77EC"/>
    <w:rsid w:val="4E635113"/>
    <w:rsid w:val="50DC003A"/>
    <w:rsid w:val="51513FB1"/>
    <w:rsid w:val="517859AA"/>
    <w:rsid w:val="517A4301"/>
    <w:rsid w:val="572D46BD"/>
    <w:rsid w:val="59AB4A75"/>
    <w:rsid w:val="5D9D35C1"/>
    <w:rsid w:val="5E014915"/>
    <w:rsid w:val="5F990B1A"/>
    <w:rsid w:val="64464137"/>
    <w:rsid w:val="675A3E49"/>
    <w:rsid w:val="68875C3F"/>
    <w:rsid w:val="68DD399F"/>
    <w:rsid w:val="695B414E"/>
    <w:rsid w:val="71E97D49"/>
    <w:rsid w:val="72437782"/>
    <w:rsid w:val="736C1BDB"/>
    <w:rsid w:val="74A049C1"/>
    <w:rsid w:val="76073591"/>
    <w:rsid w:val="775D66E5"/>
    <w:rsid w:val="79B111B5"/>
    <w:rsid w:val="7BFF2226"/>
    <w:rsid w:val="7D5D6906"/>
    <w:rsid w:val="7D7F56BA"/>
    <w:rsid w:val="7E166AA6"/>
    <w:rsid w:val="7EDF1F84"/>
    <w:rsid w:val="7FAE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2020-03-10T00:10:00Z</dcterms:created>
  <dc:creator>凌云</dc:creator>
  <cp:lastModifiedBy>凌云</cp:lastModifiedBy>
  <cp:lastPrinted>2020-03-11T06:55:00Z</cp:lastPrinted>
  <dcterms:modified xsi:type="dcterms:W3CDTF">2020-03-17T08:58:34Z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